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 w:firstLine="0" w:left="0" w:right="0"/>
        <w:jc w:val="right"/>
        <w:rPr>
          <w:b w:val="1"/>
          <w:sz w:val="23"/>
        </w:rPr>
      </w:pPr>
    </w:p>
    <w:p w14:paraId="04000000">
      <w:pPr>
        <w:pStyle w:val="Style_2"/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747268" cy="933577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-128" l="-166" r="-166" t="-128"/>
                    <a:stretch/>
                  </pic:blipFill>
                  <pic:spPr>
                    <a:xfrm flipH="false" flipV="false" rot="0">
                      <a:ext cx="747268" cy="93357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2"/>
        <w:spacing w:line="240" w:lineRule="auto"/>
        <w:ind/>
        <w:jc w:val="center"/>
      </w:pPr>
      <w:r>
        <w:rPr>
          <w:b w:val="1"/>
          <w:sz w:val="28"/>
        </w:rPr>
        <w:t>РОССИЙСКАЯ ФЕДЕРАЦИЯ                                                                 РОСТОВСКАЯ ОБЛАСТЬ</w:t>
      </w:r>
    </w:p>
    <w:p w14:paraId="06000000">
      <w:pPr>
        <w:pStyle w:val="Style_2"/>
        <w:ind/>
        <w:jc w:val="center"/>
      </w:pPr>
      <w:r>
        <w:rPr>
          <w:b w:val="1"/>
          <w:sz w:val="28"/>
        </w:rPr>
        <w:t xml:space="preserve">НЕКЛИНОВСКИЙ РАЙОН </w:t>
      </w:r>
    </w:p>
    <w:p w14:paraId="07000000">
      <w:pPr>
        <w:pStyle w:val="Style_2"/>
        <w:ind/>
        <w:jc w:val="center"/>
      </w:pPr>
      <w:r>
        <w:rPr>
          <w:b w:val="1"/>
          <w:sz w:val="28"/>
        </w:rPr>
        <w:t xml:space="preserve">МУНИЦИПАЛЬНОЕ ОБРАЗОВАНИЕ </w:t>
      </w:r>
    </w:p>
    <w:p w14:paraId="08000000">
      <w:pPr>
        <w:pStyle w:val="Style_2"/>
        <w:ind/>
        <w:jc w:val="center"/>
      </w:pPr>
      <w:r>
        <w:rPr>
          <w:b w:val="1"/>
          <w:sz w:val="28"/>
        </w:rPr>
        <w:t>«ПОКРОВСКОЕ СЕЛЬСКОЕ ПОСЕЛЕНИЕ»</w:t>
      </w:r>
    </w:p>
    <w:p w14:paraId="09000000">
      <w:pPr>
        <w:pStyle w:val="Style_2"/>
        <w:ind/>
        <w:jc w:val="center"/>
      </w:pPr>
      <w:r>
        <w:rPr>
          <w:b w:val="1"/>
          <w:sz w:val="28"/>
        </w:rPr>
        <w:t>АДМИНИСТРАЦИЯ ПОКРОВСКОГО СЕЛЬСКОГО ПОСЕЛЕНИЯ</w:t>
      </w:r>
    </w:p>
    <w:p w14:paraId="0A000000">
      <w:pPr>
        <w:pStyle w:val="Style_2"/>
        <w:ind/>
        <w:jc w:val="center"/>
        <w:rPr>
          <w:b w:val="1"/>
          <w:sz w:val="28"/>
        </w:rPr>
      </w:pPr>
    </w:p>
    <w:p w14:paraId="0B000000">
      <w:pPr>
        <w:pStyle w:val="Style_2"/>
        <w:ind/>
        <w:jc w:val="center"/>
      </w:pPr>
      <w:r>
        <w:rPr>
          <w:b w:val="1"/>
          <w:sz w:val="28"/>
        </w:rPr>
        <w:t>ПОСТАНОВЛЕНИЕ</w:t>
      </w:r>
    </w:p>
    <w:p w14:paraId="0C000000">
      <w:pPr>
        <w:pStyle w:val="Style_2"/>
        <w:ind/>
        <w:jc w:val="center"/>
        <w:rPr>
          <w:b w:val="1"/>
          <w:sz w:val="28"/>
        </w:rPr>
      </w:pPr>
    </w:p>
    <w:p w14:paraId="0D000000">
      <w:pPr>
        <w:pStyle w:val="Style_2"/>
        <w:ind/>
        <w:jc w:val="center"/>
      </w:pPr>
      <w:r>
        <w:rPr>
          <w:sz w:val="28"/>
        </w:rPr>
        <w:t>29.12.2023</w:t>
      </w:r>
      <w:r>
        <w:rPr>
          <w:sz w:val="28"/>
        </w:rPr>
        <w:t xml:space="preserve"> № 148</w:t>
      </w:r>
    </w:p>
    <w:p w14:paraId="0E000000">
      <w:pPr>
        <w:pStyle w:val="Style_2"/>
        <w:ind/>
        <w:jc w:val="center"/>
      </w:pPr>
      <w:r>
        <w:rPr>
          <w:b w:val="0"/>
          <w:sz w:val="24"/>
        </w:rPr>
        <w:t>с.Покровское</w:t>
      </w:r>
    </w:p>
    <w:p w14:paraId="0F000000">
      <w:pPr>
        <w:pStyle w:val="Style_2"/>
        <w:ind/>
        <w:jc w:val="right"/>
        <w:rPr>
          <w:sz w:val="24"/>
        </w:rPr>
      </w:pPr>
    </w:p>
    <w:p w14:paraId="10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Администрации Покровского сельского поселения №89 от 09.10.2018 «Об утверждении  муниципальной  программы </w:t>
      </w:r>
    </w:p>
    <w:p w14:paraId="11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Покровского  сельского   поселения   «Развитие молодежной политики  в Покровском сельском поселении» </w:t>
      </w:r>
    </w:p>
    <w:p w14:paraId="12000000">
      <w:pPr>
        <w:pStyle w:val="Style_2"/>
        <w:ind/>
        <w:jc w:val="both"/>
        <w:rPr>
          <w:rFonts w:ascii="Times New Roman" w:hAnsi="Times New Roman"/>
          <w:b w:val="1"/>
        </w:rPr>
      </w:pPr>
    </w:p>
    <w:p w14:paraId="13000000">
      <w:pPr>
        <w:pStyle w:val="Style_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В</w:t>
      </w:r>
      <w:r>
        <w:rPr>
          <w:rStyle w:val="Style_3_ch"/>
          <w:rFonts w:ascii="Times New Roman" w:hAnsi="Times New Roman"/>
          <w:sz w:val="28"/>
        </w:rPr>
        <w:t xml:space="preserve"> соответствии с решением Собрания депутатов Покровского сельского поселения №95 от 25.12.2023 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«О бюджете Покровского сельского поселения Неклиновского района на 2024 год и на плановый период 2025 и 2026 годов»</w:t>
      </w:r>
      <w:r>
        <w:rPr>
          <w:rStyle w:val="Style_3_ch"/>
          <w:rFonts w:ascii="Times New Roman" w:hAnsi="Times New Roman"/>
          <w:color w:val="000000"/>
          <w:sz w:val="28"/>
        </w:rPr>
        <w:t xml:space="preserve">,    </w:t>
      </w:r>
      <w:r>
        <w:rPr>
          <w:rFonts w:ascii="Times New Roman" w:hAnsi="Times New Roman"/>
          <w:sz w:val="28"/>
        </w:rPr>
        <w:t xml:space="preserve"> Администрация     Покровского    сельского    поселения                                            </w:t>
      </w:r>
    </w:p>
    <w:p w14:paraId="14000000">
      <w:pPr>
        <w:pStyle w:val="Style_2"/>
        <w:ind/>
        <w:jc w:val="center"/>
      </w:pPr>
    </w:p>
    <w:p w14:paraId="15000000">
      <w:pPr>
        <w:pStyle w:val="Style_2"/>
        <w:ind/>
        <w:jc w:val="center"/>
      </w:pPr>
      <w:r>
        <w:rPr>
          <w:b w:val="0"/>
          <w:sz w:val="28"/>
        </w:rPr>
        <w:t>ПОСТАНОВЛЯЕТ:</w:t>
      </w:r>
    </w:p>
    <w:p w14:paraId="16000000">
      <w:pPr>
        <w:pStyle w:val="Style_2"/>
        <w:widowControl w:val="0"/>
        <w:ind w:firstLine="624" w:left="0" w:right="0"/>
        <w:jc w:val="both"/>
        <w:rPr>
          <w:b w:val="0"/>
          <w:sz w:val="28"/>
        </w:rPr>
      </w:pPr>
    </w:p>
    <w:p w14:paraId="17000000">
      <w:pPr>
        <w:pStyle w:val="Style_2"/>
        <w:widowControl w:val="0"/>
        <w:spacing w:line="276" w:lineRule="auto"/>
        <w:ind w:firstLine="624" w:left="0" w:right="0"/>
        <w:jc w:val="both"/>
      </w:pPr>
      <w:r>
        <w:rPr>
          <w:b w:val="0"/>
          <w:sz w:val="28"/>
        </w:rPr>
        <w:t>1.Внести изменения  в постановление Администрации Покровского сельского поселения №89 от 09.10.2018 «Об утверждении  муниципальной  программы Покровского  сельского   поселения   «Развитие молодежной политики  в Покровском сельском поселении»;</w:t>
      </w:r>
    </w:p>
    <w:p w14:paraId="18000000">
      <w:pPr>
        <w:pStyle w:val="Style_2"/>
        <w:widowControl w:val="0"/>
        <w:spacing w:line="276" w:lineRule="auto"/>
        <w:ind w:firstLine="567" w:left="0" w:right="0"/>
        <w:jc w:val="both"/>
      </w:pPr>
      <w:r>
        <w:rPr>
          <w:sz w:val="28"/>
        </w:rPr>
        <w:t>2.</w:t>
      </w:r>
      <w:r>
        <w:rPr>
          <w:sz w:val="28"/>
        </w:rPr>
        <w:t>Настоящее постановление вступает в силу со дня его официального опубликования (обнародования);</w:t>
      </w:r>
    </w:p>
    <w:p w14:paraId="19000000">
      <w:pPr>
        <w:pStyle w:val="Style_2"/>
        <w:widowControl w:val="0"/>
        <w:tabs>
          <w:tab w:leader="none" w:pos="570" w:val="left"/>
        </w:tabs>
        <w:spacing w:line="276" w:lineRule="auto"/>
        <w:ind w:firstLine="567" w:left="0" w:right="0"/>
        <w:jc w:val="both"/>
      </w:pPr>
      <w:r>
        <w:rPr>
          <w:sz w:val="28"/>
        </w:rPr>
        <w:t>3.Контроль за выполнением постановления возложить на старшего инспектора отдела экономики и финансов  Администрации Покровского сельского поселения Сенченко А.В.</w:t>
      </w:r>
    </w:p>
    <w:p w14:paraId="1A000000">
      <w:pPr>
        <w:pStyle w:val="Style_2"/>
        <w:spacing w:line="276" w:lineRule="auto"/>
        <w:ind/>
        <w:rPr>
          <w:sz w:val="28"/>
        </w:rPr>
      </w:pPr>
    </w:p>
    <w:p w14:paraId="1B000000">
      <w:pPr>
        <w:pStyle w:val="Style_2"/>
        <w:spacing w:line="276" w:lineRule="auto"/>
        <w:ind/>
        <w:rPr>
          <w:sz w:val="28"/>
        </w:rPr>
      </w:pPr>
    </w:p>
    <w:p w14:paraId="1C000000">
      <w:pPr>
        <w:pStyle w:val="Style_2"/>
        <w:spacing w:line="276" w:lineRule="auto"/>
        <w:ind/>
      </w:pPr>
      <w:r>
        <w:rPr>
          <w:b w:val="1"/>
          <w:sz w:val="28"/>
        </w:rPr>
        <w:t xml:space="preserve">Глава  Администрации </w:t>
      </w:r>
    </w:p>
    <w:p w14:paraId="1D000000">
      <w:pPr>
        <w:pStyle w:val="Style_2"/>
        <w:spacing w:line="276" w:lineRule="auto"/>
        <w:ind/>
      </w:pPr>
      <w:r>
        <w:rPr>
          <w:b w:val="1"/>
          <w:sz w:val="28"/>
        </w:rPr>
        <w:t xml:space="preserve">Покровского сельского поселения                                           Д.В.Бондарь </w:t>
      </w:r>
    </w:p>
    <w:p w14:paraId="1E000000">
      <w:pPr>
        <w:pStyle w:val="Style_2"/>
        <w:spacing w:line="276" w:lineRule="auto"/>
        <w:ind/>
      </w:pPr>
    </w:p>
    <w:p w14:paraId="1F000000">
      <w:pPr>
        <w:pStyle w:val="Style_2"/>
        <w:spacing w:line="276" w:lineRule="auto"/>
        <w:ind/>
      </w:pPr>
    </w:p>
    <w:p w14:paraId="20000000">
      <w:pPr>
        <w:pStyle w:val="Style_2"/>
        <w:spacing w:line="276" w:lineRule="auto"/>
        <w:ind/>
      </w:pPr>
    </w:p>
    <w:p w14:paraId="21000000">
      <w:pPr>
        <w:pStyle w:val="Style_2"/>
        <w:ind/>
        <w:jc w:val="right"/>
      </w:pPr>
      <w:r>
        <w:rPr>
          <w:sz w:val="24"/>
        </w:rPr>
        <w:t>Приложение 1</w:t>
      </w:r>
    </w:p>
    <w:p w14:paraId="22000000">
      <w:pPr>
        <w:pStyle w:val="Style_2"/>
        <w:ind/>
        <w:jc w:val="right"/>
      </w:pPr>
      <w:r>
        <w:rPr>
          <w:sz w:val="24"/>
        </w:rPr>
        <w:t xml:space="preserve">к постановлению Администрации </w:t>
      </w:r>
    </w:p>
    <w:p w14:paraId="23000000">
      <w:pPr>
        <w:pStyle w:val="Style_2"/>
        <w:ind/>
        <w:jc w:val="right"/>
      </w:pPr>
      <w:r>
        <w:rPr>
          <w:sz w:val="24"/>
        </w:rPr>
        <w:t>Покровского сельского поселения</w:t>
      </w:r>
    </w:p>
    <w:p w14:paraId="24000000">
      <w:pPr>
        <w:pStyle w:val="Style_2"/>
        <w:ind/>
        <w:jc w:val="right"/>
        <w:rPr>
          <w:sz w:val="24"/>
        </w:rPr>
      </w:pPr>
      <w:r>
        <w:rPr>
          <w:sz w:val="24"/>
        </w:rPr>
        <w:t>29.12.2023</w:t>
      </w:r>
      <w:r>
        <w:rPr>
          <w:sz w:val="24"/>
        </w:rPr>
        <w:t xml:space="preserve"> № 148</w:t>
      </w:r>
    </w:p>
    <w:p w14:paraId="25000000">
      <w:pPr>
        <w:pStyle w:val="Style_2"/>
        <w:ind/>
        <w:jc w:val="right"/>
      </w:pPr>
    </w:p>
    <w:p w14:paraId="26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 xml:space="preserve">МУНИЦИПАЛЬНАЯ ПРОГРАММА </w:t>
      </w:r>
    </w:p>
    <w:p w14:paraId="27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>Покровского сельского поселения</w:t>
      </w:r>
    </w:p>
    <w:p w14:paraId="28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>«Развитие молодежной политики в Покровском сельском поселении»</w:t>
      </w:r>
    </w:p>
    <w:p w14:paraId="29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 xml:space="preserve">Паспорт муниципальной программы Покровского сельского поселения </w:t>
      </w:r>
    </w:p>
    <w:p w14:paraId="2B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>«Развитие  молодежной политики в Покровском сельском поселении»</w:t>
      </w:r>
    </w:p>
    <w:p w14:paraId="2C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4"/>
        <w:tblInd w:type="dxa" w:w="-186"/>
        <w:tblLayout w:type="fixed"/>
        <w:tblCellMar>
          <w:top w:type="dxa" w:w="75"/>
          <w:left w:type="dxa" w:w="75"/>
          <w:bottom w:type="dxa" w:w="75"/>
          <w:right w:type="dxa" w:w="75"/>
        </w:tblCellMar>
      </w:tblPr>
      <w:tblGrid>
        <w:gridCol w:w="3135"/>
        <w:gridCol w:w="6825"/>
      </w:tblGrid>
      <w:tr>
        <w:trPr>
          <w:trHeight w:hRule="atLeast" w:val="400"/>
        </w:trPr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D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программы </w:t>
            </w:r>
          </w:p>
          <w:p w14:paraId="2E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</w:p>
        </w:tc>
        <w:tc>
          <w:tcPr>
            <w:tcW w:type="dxa" w:w="6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F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</w:rPr>
              <w:t>муниципальная программа Покровского сельского поселения «Развитие  молодежной политики в Покровском сельском поселении» (далее — муниципальная программа)</w:t>
            </w:r>
          </w:p>
        </w:tc>
      </w:tr>
      <w:tr>
        <w:trPr>
          <w:trHeight w:hRule="atLeast" w:val="400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0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программы  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Администрация Покровского сельского поселения</w:t>
            </w:r>
          </w:p>
        </w:tc>
      </w:tr>
      <w:t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2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Соисполнители муниципальной программы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4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муниципальной программы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молодежь Покровского сельского поселения,образовательные учреждения Покровского сельского поселения, Районный Дом культуры, Молодежный парламент при Администрации Неклиновского района</w:t>
            </w:r>
          </w:p>
        </w:tc>
      </w:tr>
      <w:t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6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Подпрограммы  муниципальной программы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1. «Развитие молодежной политики».</w:t>
            </w:r>
          </w:p>
          <w:p w14:paraId="3800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1702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9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 инструменты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муниципальной  программы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A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План реализации муниципальной программы Покровского сельского поселения «Развитие  молодежной политики в Покровском сельском поселении» </w:t>
            </w:r>
          </w:p>
          <w:p w14:paraId="3B00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1404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C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Цели муниципальной  программы 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D000000">
            <w:pPr>
              <w:spacing w:line="288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поселения и района в целом. </w:t>
            </w:r>
          </w:p>
        </w:tc>
      </w:tr>
      <w:tr>
        <w:trPr>
          <w:trHeight w:hRule="atLeast" w:val="2763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E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Задачи муниципальной  программы      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F000000">
            <w:pPr>
              <w:spacing w:line="288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1.Обеспечение    межведомственной    координации   в    вопросах    развития    молодежной самоорганизации, инновационной и  творческой деятельности,  профилактики  асоциальных  явлений   в молодежной среде, пропаганды здорового образа  жизни, патриотического воспитания  и  формирования  семейных ценностей; </w:t>
            </w:r>
          </w:p>
          <w:p w14:paraId="40000000">
            <w:pPr>
              <w:spacing w:line="288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2. Развитие межпоселенческого сотрудничества молодежи.</w:t>
            </w:r>
          </w:p>
        </w:tc>
      </w:tr>
      <w:tr>
        <w:trPr>
          <w:trHeight w:hRule="atLeast" w:val="400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1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индикаторы и показатели муниципальной программы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2000000">
            <w:pPr>
              <w:widowControl w:val="0"/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охват   молодежи,   получающей  социальные  услуги в рамках реализации молодежных программ (человек);</w:t>
            </w:r>
          </w:p>
          <w:p w14:paraId="43000000">
            <w:pPr>
              <w:widowControl w:val="0"/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доля молодежи, вовлеченной в деятельность детских и молодежных общественных объединений, от общего числа молодежи (процент);</w:t>
            </w:r>
          </w:p>
          <w:p w14:paraId="44000000">
            <w:pPr>
              <w:widowControl w:val="0"/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доля    молодежи,    вовлеченной       в      волонтерскую(добровольческую) деятельность, от общего числа молодежи (процент);</w:t>
            </w:r>
          </w:p>
          <w:p w14:paraId="45000000">
            <w:pPr>
              <w:widowControl w:val="0"/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доля молодых людей, участвующих в  программах  и проектах в сфере поддержки талантливой молодежи, от общего числа молодежи (процент).</w:t>
            </w:r>
          </w:p>
        </w:tc>
      </w:tr>
      <w:tr>
        <w:trPr>
          <w:trHeight w:hRule="atLeast" w:val="400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6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 муниципальной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программы   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7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1 января 2019 г.– 31 декабря 2030 г. </w:t>
            </w:r>
          </w:p>
        </w:tc>
      </w:tr>
      <w:tr>
        <w:trPr>
          <w:trHeight w:hRule="atLeast" w:val="400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8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 муниципальной программы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 бюджетных ассигнований на реализацию муниципальной программы из средств местного бюджета составляет 427,7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Style w:val="Style_4"/>
              <w:tblInd w:type="dxa" w:w="55"/>
              <w:tblLayout w:type="fixed"/>
              <w:tblCellMar>
                <w:top w:type="dxa" w:w="55"/>
                <w:left w:type="dxa" w:w="55"/>
                <w:bottom w:type="dxa" w:w="55"/>
                <w:right w:type="dxa" w:w="55"/>
              </w:tblCellMar>
            </w:tblPr>
            <w:tblGrid>
              <w:gridCol w:w="2006"/>
              <w:gridCol w:w="2007"/>
              <w:gridCol w:w="2099"/>
            </w:tblGrid>
            <w:tr>
              <w:tc>
                <w:tcPr>
                  <w:tcW w:type="dxa" w:w="2006"/>
                  <w:tcBorders>
                    <w:top w:color="000000" w:sz="1" w:val="single"/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B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год</w:t>
                  </w:r>
                </w:p>
              </w:tc>
              <w:tc>
                <w:tcPr>
                  <w:tcW w:type="dxa" w:w="2007"/>
                  <w:tcBorders>
                    <w:top w:color="000000" w:sz="1" w:val="single"/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C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всего</w:t>
                  </w:r>
                </w:p>
              </w:tc>
              <w:tc>
                <w:tcPr>
                  <w:tcW w:type="dxa" w:w="2099"/>
                  <w:tcBorders>
                    <w:top w:color="000000" w:sz="1" w:val="single"/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D000000">
                  <w:pPr>
                    <w:pStyle w:val="Style_5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E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2019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F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0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1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2020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2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3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4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2021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5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21,0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6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21,0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7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2022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8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24,7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9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24,7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A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2023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B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24,5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C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24,5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D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2024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E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44,1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F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44,1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0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2025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1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45,8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2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45,8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3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2026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4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47,6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5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47,6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6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2027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7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8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9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2028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A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B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C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2029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D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E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F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2030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0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1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</w:tbl>
          <w:p w14:paraId="72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400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3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 реализации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муниципальной программы                </w:t>
            </w:r>
          </w:p>
          <w:p w14:paraId="74000000">
            <w:pPr>
              <w:pStyle w:val="Style_2"/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5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1. Увеличение охвата  молодежи,   получающей    социальные    услуги   в    рамках         реализации             молодежных    программ;                                                                                     2. Увеличение доли  молодежи,   вовлеченной     в          деятельность детских и молодежных общественных объединений, от общего</w:t>
            </w:r>
            <w:r>
              <w:rPr>
                <w:rFonts w:ascii="Times New Roman" w:hAnsi="Times New Roman"/>
                <w:color w:val="FFFFFF"/>
                <w:sz w:val="28"/>
              </w:rPr>
              <w:t>…</w:t>
            </w:r>
            <w:r>
              <w:rPr>
                <w:rFonts w:ascii="Times New Roman" w:hAnsi="Times New Roman"/>
                <w:sz w:val="28"/>
              </w:rPr>
              <w:t>числа</w:t>
            </w:r>
            <w:r>
              <w:rPr>
                <w:rFonts w:ascii="Times New Roman" w:hAnsi="Times New Roman"/>
                <w:color w:val="FFFFFF"/>
                <w:sz w:val="28"/>
              </w:rPr>
              <w:t>…..</w:t>
            </w:r>
            <w:r>
              <w:rPr>
                <w:rFonts w:ascii="Times New Roman" w:hAnsi="Times New Roman"/>
                <w:sz w:val="28"/>
              </w:rPr>
              <w:t>молодежи</w:t>
            </w:r>
            <w:r>
              <w:rPr>
                <w:rFonts w:ascii="Times New Roman" w:hAnsi="Times New Roman"/>
                <w:color w:val="FFFFFF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;                                                             3. Увеличение доли    молодежи,    вовлеченной      в      волонтерскую (добровольческую) деятельность,от     общего числа молодежи;                                                                  4. Увеличение доли  молодых людей, участвующих в программах и проектах в сфере поддержки талантливой молодежи, от общего числа молодежи.</w:t>
            </w:r>
          </w:p>
        </w:tc>
      </w:tr>
    </w:tbl>
    <w:p w14:paraId="76000000">
      <w:pPr>
        <w:widowControl w:val="0"/>
        <w:ind w:firstLine="0" w:left="0" w:right="0"/>
        <w:jc w:val="left"/>
        <w:rPr>
          <w:rFonts w:ascii="Times New Roman" w:hAnsi="Times New Roman"/>
          <w:sz w:val="24"/>
        </w:rPr>
      </w:pPr>
    </w:p>
    <w:p w14:paraId="77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 xml:space="preserve">Паспорт подпрограммы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«Развитие  молодежной политики»</w:t>
      </w:r>
    </w:p>
    <w:p w14:paraId="78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4"/>
        <w:tblInd w:type="dxa" w:w="-296"/>
        <w:tblLayout w:type="fixed"/>
        <w:tblCellMar>
          <w:top w:type="dxa" w:w="75"/>
          <w:left w:type="dxa" w:w="75"/>
          <w:bottom w:type="dxa" w:w="75"/>
          <w:right w:type="dxa" w:w="75"/>
        </w:tblCellMar>
      </w:tblPr>
      <w:tblGrid>
        <w:gridCol w:w="3240"/>
        <w:gridCol w:w="6895"/>
      </w:tblGrid>
      <w:tr>
        <w:trPr>
          <w:trHeight w:hRule="atLeast" w:val="400"/>
        </w:trPr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9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 </w:t>
            </w:r>
          </w:p>
          <w:p w14:paraId="7A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подпрограммы  </w:t>
            </w:r>
          </w:p>
        </w:tc>
        <w:tc>
          <w:tcPr>
            <w:tcW w:type="dxa" w:w="6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B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подпрограмма 1. «Развитие молодежной политики»</w:t>
            </w:r>
          </w:p>
        </w:tc>
      </w:tr>
      <w:tr>
        <w:trPr>
          <w:trHeight w:hRule="atLeast" w:val="400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C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подпрограммы                              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Администрация Покровского сельского поселения</w:t>
            </w:r>
          </w:p>
        </w:tc>
      </w:tr>
      <w:t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E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Соисполнители муниципальной подпрограммы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0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молодежь Покровского сельского поселения,образовательные учреждения Покровского сельского поселения, Районный Дом культуры, Молодежный парламент при Администрации Неклиновского района</w:t>
            </w:r>
          </w:p>
        </w:tc>
      </w:tr>
      <w:tr>
        <w:trPr>
          <w:trHeight w:hRule="atLeast" w:val="946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2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 инструменты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подпрограммы              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3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подпрограммы  муниципальной программы </w:t>
            </w:r>
          </w:p>
        </w:tc>
      </w:tr>
      <w:t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4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Цели подпрограммы         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5000000">
            <w:pPr>
              <w:spacing w:line="288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поселения и района в целом. </w:t>
            </w:r>
          </w:p>
        </w:tc>
      </w:tr>
      <w:tr>
        <w:trPr>
          <w:trHeight w:hRule="atLeast" w:val="345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6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Задачи подпрограммы       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7000000">
            <w:pPr>
              <w:spacing w:line="288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1.Обеспечение    межведомственной    координации   в    вопросах    развития    молодежной самоорганизации, инновационной и  творческой деятельности,  профилактики  асоциальных  явлений   в молодежной среде, пропаганды здорового образа  жизни, патриотического воспитания  и  формирования  семейных ценностей; </w:t>
            </w:r>
          </w:p>
          <w:p w14:paraId="88000000">
            <w:pPr>
              <w:spacing w:line="288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2. Развитие межпоселенческого сотрудничества молодежи.</w:t>
            </w:r>
          </w:p>
        </w:tc>
      </w:tr>
      <w:tr>
        <w:trPr>
          <w:trHeight w:hRule="atLeast" w:val="400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9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A000000">
            <w:pPr>
              <w:widowControl w:val="0"/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охват   молодежи,   получающей  социальные  услуги в рамках реализации молодежных программ (человек);</w:t>
            </w:r>
          </w:p>
          <w:p w14:paraId="8B000000">
            <w:pPr>
              <w:widowControl w:val="0"/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доля молодежи, вовлеченной в деятельность детских и молодежных общественных объединений, от общего числа молодежи (процент);</w:t>
            </w:r>
          </w:p>
          <w:p w14:paraId="8C000000">
            <w:pPr>
              <w:widowControl w:val="0"/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доля    молодежи,    вовлеченной       в      волонтерскую(добровольческую) деятельность, от общего числа молодежи (процент);</w:t>
            </w:r>
          </w:p>
          <w:p w14:paraId="8D000000">
            <w:pPr>
              <w:widowControl w:val="0"/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доля молодых людей, участвующих в  программах  и проектах в сфере поддержки талантливой молодежи, от общего числа молодежи (процент).</w:t>
            </w:r>
          </w:p>
        </w:tc>
      </w:tr>
      <w:tr>
        <w:trPr>
          <w:trHeight w:hRule="atLeast" w:val="400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E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подпрограммы                              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F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1 января 2019 г.– 31 декабря 2030 г. </w:t>
            </w:r>
          </w:p>
        </w:tc>
      </w:tr>
      <w:tr>
        <w:trPr>
          <w:trHeight w:hRule="atLeast" w:val="400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0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объем  бюджетных ассигнований на реализацию  подпрограммы из средств местного бюджета составляет </w:t>
            </w:r>
            <w:r>
              <w:rPr>
                <w:rFonts w:ascii="Times New Roman" w:hAnsi="Times New Roman"/>
                <w:sz w:val="28"/>
              </w:rPr>
              <w:t>427,7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9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объем бюджетных ассигнований  на реализацию  подпрограммы по годам составляет (тыс.рублей):</w:t>
            </w:r>
          </w:p>
          <w:tbl>
            <w:tblPr>
              <w:tblStyle w:val="Style_4"/>
              <w:tblInd w:type="dxa" w:w="55"/>
              <w:tblLayout w:type="fixed"/>
              <w:tblCellMar>
                <w:top w:type="dxa" w:w="55"/>
                <w:left w:type="dxa" w:w="55"/>
                <w:bottom w:type="dxa" w:w="55"/>
                <w:right w:type="dxa" w:w="55"/>
              </w:tblCellMar>
            </w:tblPr>
            <w:tblGrid>
              <w:gridCol w:w="2006"/>
              <w:gridCol w:w="2007"/>
              <w:gridCol w:w="2099"/>
            </w:tblGrid>
            <w:tr>
              <w:tc>
                <w:tcPr>
                  <w:tcW w:type="dxa" w:w="2006"/>
                  <w:tcBorders>
                    <w:top w:color="000000" w:sz="1" w:val="single"/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3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год</w:t>
                  </w:r>
                </w:p>
              </w:tc>
              <w:tc>
                <w:tcPr>
                  <w:tcW w:type="dxa" w:w="2007"/>
                  <w:tcBorders>
                    <w:top w:color="000000" w:sz="1" w:val="single"/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4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всего</w:t>
                  </w:r>
                </w:p>
              </w:tc>
              <w:tc>
                <w:tcPr>
                  <w:tcW w:type="dxa" w:w="2099"/>
                  <w:tcBorders>
                    <w:top w:color="000000" w:sz="1" w:val="single"/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5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6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2019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7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8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9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2020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A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B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C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2021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D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21,0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E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21,0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F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2022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0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24,7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1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24,7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2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2023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3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24,5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4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24,5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5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2024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6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44,1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7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44,1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8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2025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9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45,8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A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45,8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B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2026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C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47,6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D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47,6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E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2027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F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0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1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2028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2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3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4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2029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5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6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7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2030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8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9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</w:tbl>
          <w:p w14:paraId="BA00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795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B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 реализации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подпрограммы                </w:t>
            </w:r>
          </w:p>
          <w:p w14:paraId="BC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D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1. Увеличение охвата  молодежи,   получающей    социальные    услуги   в    рамках         реализации             молодежных    программ;                                                                                     2. Увеличение доли  молодежи,   вовлеченной     в          деятельность детских и молодежных общественных объединений, от общего</w:t>
            </w:r>
            <w:r>
              <w:rPr>
                <w:rFonts w:ascii="Times New Roman" w:hAnsi="Times New Roman"/>
                <w:color w:val="FFFFFF"/>
                <w:sz w:val="28"/>
              </w:rPr>
              <w:t>…</w:t>
            </w:r>
            <w:r>
              <w:rPr>
                <w:rFonts w:ascii="Times New Roman" w:hAnsi="Times New Roman"/>
                <w:sz w:val="28"/>
              </w:rPr>
              <w:t>числа</w:t>
            </w:r>
            <w:r>
              <w:rPr>
                <w:rFonts w:ascii="Times New Roman" w:hAnsi="Times New Roman"/>
                <w:color w:val="FFFFFF"/>
                <w:sz w:val="28"/>
              </w:rPr>
              <w:t>…..</w:t>
            </w:r>
            <w:r>
              <w:rPr>
                <w:rFonts w:ascii="Times New Roman" w:hAnsi="Times New Roman"/>
                <w:sz w:val="28"/>
              </w:rPr>
              <w:t>молодежи</w:t>
            </w:r>
            <w:r>
              <w:rPr>
                <w:rFonts w:ascii="Times New Roman" w:hAnsi="Times New Roman"/>
                <w:color w:val="FFFFFF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;                                                             3. Увеличение доли    молодежи,    вовлеченной      в      волонтерскую (добровольческую) деятельность,от     общего числа молодежи;                                                                  4. Увеличение доли  молодых людей, участвующих в программах и проектах в сфере поддержки талантливой молодежи, от общего числа молодежи.</w:t>
            </w:r>
          </w:p>
        </w:tc>
      </w:tr>
    </w:tbl>
    <w:p w14:paraId="BE000000">
      <w:pPr>
        <w:widowControl w:val="0"/>
        <w:ind w:firstLine="0" w:left="0" w:right="0"/>
        <w:jc w:val="center"/>
        <w:rPr>
          <w:rFonts w:ascii="Times New Roman" w:hAnsi="Times New Roman"/>
          <w:sz w:val="23"/>
        </w:rPr>
      </w:pPr>
    </w:p>
    <w:p w14:paraId="BF000000">
      <w:pPr>
        <w:widowControl w:val="0"/>
        <w:ind w:firstLine="0" w:left="0" w:right="0"/>
        <w:jc w:val="center"/>
        <w:rPr>
          <w:rFonts w:ascii="Times New Roman" w:hAnsi="Times New Roman"/>
          <w:sz w:val="23"/>
        </w:rPr>
      </w:pPr>
    </w:p>
    <w:p w14:paraId="C000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 Общая характеристика муниципальной программы </w:t>
      </w:r>
      <w:r>
        <w:rPr>
          <w:rFonts w:ascii="Times New Roman" w:hAnsi="Times New Roman"/>
          <w:b w:val="0"/>
          <w:sz w:val="28"/>
        </w:rPr>
        <w:t>Покровского сельского поселения «Развитие молодежной политики в Покровском сельском поселении», основные проблемы молодежной политики и пути решения</w:t>
      </w:r>
    </w:p>
    <w:p w14:paraId="C1000000">
      <w:pPr>
        <w:widowControl w:val="0"/>
        <w:ind/>
        <w:jc w:val="center"/>
        <w:rPr>
          <w:rFonts w:ascii="Times New Roman" w:hAnsi="Times New Roman"/>
          <w:sz w:val="28"/>
        </w:rPr>
      </w:pPr>
    </w:p>
    <w:p w14:paraId="C2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Государственная молодежная политика рассматривается как деятельность государства,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инициатив, что закреплено в «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instrText>HYPERLINK "consultantplus://offline/ref=7E5F280DF014E050F6674BCA2B77460FEDEFDBD7CDACAAD2D751EFE34F529EFAAC90A70486F9L821K"</w:instrTex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>Основных направлениях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sz w:val="28"/>
        </w:rPr>
        <w:t>государственной молодежной политики в Российской Федерации».</w:t>
      </w:r>
    </w:p>
    <w:p w14:paraId="C3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Правовые основы, цели, основные направления, принципы, экономические и социальные гарантии осуществления государственной молодежной политики определены законодательством Российской Федерации.</w:t>
      </w:r>
    </w:p>
    <w:p w14:paraId="C4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рамках выполнения Стратегии  социально-экономического развития Ростовской области  на период до 2030 года   в поселении осуществляется системная работа по развитию молодежного добровольческого движения, по гражданско-патриотическому воспитанию молодого поколения, с  талантливой молодежью, для которой создаются мероприятия, направленные на реализацию личных способностей молодого поколения.</w:t>
      </w:r>
    </w:p>
    <w:p w14:paraId="C5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Ведется активная работа  по профилактике табакокурения, употребления алкоголя , ВИЧ/СПИДа, развивается молодежное добровольческое движение по пропаганде здорового образа жизни. </w:t>
      </w:r>
    </w:p>
    <w:p w14:paraId="C6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 целью государственно-общественного управления молодежной политикой сформирован  молодежный парламент при Администрации Неклиновского района, в состав которого входят активисты с.Покровского.</w:t>
      </w:r>
    </w:p>
    <w:p w14:paraId="C7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Сегодня молодежь рассматривается в качестве полноправного субъекта молодежной политики, основного партнера властей всех уровней в ее выработке и реализации. Современная молодежная политика ориентирована на максимальное включение молодежи в социальную практику, на создание условий и возможностей для самостоятельного решения молодежным сообществом собственных проблем и полноценного участия молодежи в жизни общества. Особенно важным является общественное признание потребности широкого включения молодежи в социальные практики, как необходимого условия формирования у нее российской идентичности.</w:t>
      </w:r>
    </w:p>
    <w:p w14:paraId="C8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то же время проблема повышения субъектности молодежного сообщества продолжает оставаться чрезвычайно острой. Действующие молодежные объединения и их ассоциации в большинстве своем чрезмерно зависят от государства, обладают слабым экспертным и научным потенциалом, не имеют достаточного для отстаивания своих интересов представительства в органах государственной власти и местного самоуправления. Остается низкой престижность общественной деятельности в целом, ее общественная и государственная оценка. Необходимо уделять внимание созданию дополнительных механизмов вовлечения молодежи в решение социально значимых проблем, созданию дополнительных форм межсубъектного взаимодействия, стимулирующего общественную активность.</w:t>
      </w:r>
    </w:p>
    <w:p w14:paraId="C9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Работа по преодолению всех проблемных аспектов должна предусматривать совместную скоординированную работу различных ведомств, учреждений сферы молодежной политики, молодежных общественных объединений, учреждений культуры и образования. </w:t>
      </w:r>
    </w:p>
    <w:p w14:paraId="CA000000">
      <w:pPr>
        <w:widowControl w:val="0"/>
        <w:ind w:firstLine="0" w:left="0" w:right="0"/>
        <w:jc w:val="center"/>
        <w:rPr>
          <w:rFonts w:ascii="Times New Roman" w:hAnsi="Times New Roman"/>
          <w:sz w:val="24"/>
        </w:rPr>
      </w:pPr>
    </w:p>
    <w:p w14:paraId="CB00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2.Приоритеты, цель, </w:t>
      </w:r>
      <w:r>
        <w:rPr>
          <w:rFonts w:ascii="Times New Roman" w:hAnsi="Times New Roman"/>
          <w:b w:val="0"/>
          <w:sz w:val="28"/>
        </w:rPr>
        <w:t>задачи, индикаторы (показатели)</w:t>
      </w:r>
      <w:r>
        <w:rPr>
          <w:rFonts w:ascii="Times New Roman" w:hAnsi="Times New Roman"/>
          <w:sz w:val="28"/>
        </w:rPr>
        <w:t xml:space="preserve"> </w:t>
      </w:r>
    </w:p>
    <w:p w14:paraId="CC00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муниципальной политики в сфере реализации муниципальной программы </w:t>
      </w:r>
      <w:r>
        <w:rPr>
          <w:rFonts w:ascii="Times New Roman" w:hAnsi="Times New Roman"/>
          <w:b w:val="0"/>
          <w:sz w:val="28"/>
        </w:rPr>
        <w:t xml:space="preserve">Покровского сельского поселения «Развитие молодежной политики </w:t>
      </w:r>
    </w:p>
    <w:p w14:paraId="CD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 xml:space="preserve">в Покровском сельском поселении»  </w:t>
      </w:r>
    </w:p>
    <w:p w14:paraId="CE000000">
      <w:pPr>
        <w:spacing w:line="276" w:lineRule="auto"/>
        <w:ind/>
        <w:jc w:val="center"/>
        <w:rPr>
          <w:rFonts w:ascii="Times New Roman" w:hAnsi="Times New Roman"/>
          <w:b w:val="0"/>
          <w:sz w:val="28"/>
        </w:rPr>
      </w:pPr>
    </w:p>
    <w:p w14:paraId="CF000000">
      <w:pPr>
        <w:widowControl w:val="0"/>
        <w:tabs>
          <w:tab w:leader="none" w:pos="0" w:val="left"/>
        </w:tabs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2.1.Приоритетные направления муниципальной молодежной политики.  </w:t>
      </w:r>
    </w:p>
    <w:p w14:paraId="D0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 основании Стратегии  социально-экономического развития Ростовской области  на период до 2030 года определены основные направления  развития молодежной политики на территории  Покровского  сельского поселения:</w:t>
      </w:r>
    </w:p>
    <w:p w14:paraId="D1000000">
      <w:pPr>
        <w:widowControl w:val="0"/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вовлечение молодежи в социальную практику;</w:t>
      </w:r>
    </w:p>
    <w:p w14:paraId="D2000000">
      <w:pPr>
        <w:widowControl w:val="0"/>
        <w:numPr>
          <w:ilvl w:val="0"/>
          <w:numId w:val="1"/>
        </w:numPr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14:paraId="D3000000">
      <w:pPr>
        <w:widowControl w:val="0"/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гражданское и патриотическое воспитание молодежи;</w:t>
      </w:r>
    </w:p>
    <w:p w14:paraId="D4000000">
      <w:pPr>
        <w:widowControl w:val="0"/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выявление и поддержка талантливой молодежи;</w:t>
      </w:r>
    </w:p>
    <w:p w14:paraId="D5000000">
      <w:pPr>
        <w:widowControl w:val="0"/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профилактика правонарушений среди молодежи;</w:t>
      </w:r>
    </w:p>
    <w:p w14:paraId="D6000000">
      <w:pPr>
        <w:widowControl w:val="0"/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развитие межмуниципального молодежного сотрудничества.</w:t>
      </w:r>
    </w:p>
    <w:p w14:paraId="D7000000">
      <w:pPr>
        <w:widowControl w:val="0"/>
        <w:spacing w:line="276" w:lineRule="auto"/>
        <w:ind w:firstLine="737" w:left="0" w:right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2.2.Цель, задачи, индикаторы (показатели)   реализации муниципальной программы.</w:t>
      </w:r>
    </w:p>
    <w:p w14:paraId="D8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Целью муниципальной программы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поселения и района в целом. Для достижения поставленной цели необходимо обеспечить решение следующих задач:</w:t>
      </w:r>
    </w:p>
    <w:p w14:paraId="D9000000">
      <w:pPr>
        <w:widowControl w:val="1"/>
        <w:numPr>
          <w:ilvl w:val="0"/>
          <w:numId w:val="2"/>
        </w:numPr>
        <w:tabs>
          <w:tab w:leader="none" w:pos="570" w:val="left"/>
        </w:tabs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обеспечение    межведомственной    координации   в    вопросах    развития молодежной самоорганизации, инновационной и  творческой деятельности, профилактики  асоциальных  явлений   в молодежной среде, пропаганды здорового образа  жизни, патриотического воспитания  и  формирования  семейных ценностей; </w:t>
      </w:r>
    </w:p>
    <w:p w14:paraId="DA000000">
      <w:pPr>
        <w:numPr>
          <w:ilvl w:val="0"/>
          <w:numId w:val="2"/>
        </w:num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развитие межпоселенческого сотрудничества молодежи.</w:t>
      </w:r>
    </w:p>
    <w:p w14:paraId="DB000000">
      <w:pPr>
        <w:widowControl w:val="1"/>
        <w:spacing w:line="276" w:lineRule="auto"/>
        <w:ind w:firstLine="0" w:left="36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Охват молодежи, получающей социальные услуги в рамках реализации молодежных программ, рассчитывается как сумма количества участников, принявших участие в мероприятиях молодежных программ, согласно отчетности. </w:t>
      </w:r>
    </w:p>
    <w:p w14:paraId="DC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Показатели доли молодежи являются расчетными. Расчеты производятся по формулам (Таблица 1):</w:t>
      </w:r>
    </w:p>
    <w:p w14:paraId="DD000000">
      <w:pPr>
        <w:widowControl w:val="0"/>
        <w:ind w:firstLine="540" w:left="0" w:right="0"/>
        <w:jc w:val="right"/>
        <w:rPr>
          <w:rFonts w:ascii="Times New Roman" w:hAnsi="Times New Roman"/>
          <w:sz w:val="28"/>
        </w:rPr>
      </w:pPr>
    </w:p>
    <w:p w14:paraId="DE000000">
      <w:pPr>
        <w:widowControl w:val="0"/>
        <w:ind w:firstLine="540" w:left="0" w:right="0"/>
        <w:jc w:val="right"/>
        <w:rPr>
          <w:rFonts w:ascii="Times New Roman" w:hAnsi="Times New Roman"/>
          <w:sz w:val="28"/>
        </w:rPr>
      </w:pPr>
    </w:p>
    <w:p w14:paraId="DF000000">
      <w:pPr>
        <w:widowControl w:val="0"/>
        <w:ind w:firstLine="540" w:left="0" w:right="0"/>
        <w:jc w:val="right"/>
        <w:rPr>
          <w:rFonts w:ascii="Times New Roman" w:hAnsi="Times New Roman"/>
          <w:sz w:val="28"/>
        </w:rPr>
      </w:pPr>
    </w:p>
    <w:p w14:paraId="E0000000">
      <w:pPr>
        <w:widowControl w:val="0"/>
        <w:ind w:firstLine="540" w:left="0" w:right="0"/>
        <w:jc w:val="right"/>
        <w:rPr>
          <w:rFonts w:ascii="Times New Roman" w:hAnsi="Times New Roman"/>
          <w:sz w:val="28"/>
        </w:rPr>
      </w:pPr>
    </w:p>
    <w:p w14:paraId="E1000000">
      <w:pPr>
        <w:widowControl w:val="0"/>
        <w:ind w:firstLine="540" w:left="0" w:right="0"/>
        <w:jc w:val="right"/>
        <w:rPr>
          <w:rFonts w:ascii="Times New Roman" w:hAnsi="Times New Roman"/>
          <w:sz w:val="28"/>
        </w:rPr>
      </w:pPr>
    </w:p>
    <w:p w14:paraId="E2000000">
      <w:pPr>
        <w:widowControl w:val="0"/>
        <w:ind w:firstLine="540" w:left="0" w:right="0"/>
        <w:jc w:val="right"/>
        <w:rPr>
          <w:rFonts w:ascii="Times New Roman" w:hAnsi="Times New Roman"/>
          <w:sz w:val="28"/>
        </w:rPr>
      </w:pPr>
    </w:p>
    <w:p w14:paraId="E3000000">
      <w:pPr>
        <w:widowControl w:val="0"/>
        <w:ind w:firstLine="54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Таблица 1</w:t>
      </w:r>
    </w:p>
    <w:p w14:paraId="E4000000">
      <w:pPr>
        <w:widowControl w:val="0"/>
        <w:ind/>
        <w:jc w:val="both"/>
        <w:rPr>
          <w:rFonts w:ascii="Times New Roman" w:hAnsi="Times New Roman"/>
          <w:sz w:val="24"/>
        </w:rPr>
      </w:pPr>
    </w:p>
    <w:tbl>
      <w:tblPr>
        <w:tblStyle w:val="Style_4"/>
        <w:tblInd w:type="dxa" w:w="-25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48"/>
        <w:gridCol w:w="6630"/>
      </w:tblGrid>
      <w:tr>
        <w:tc>
          <w:tcPr>
            <w:tcW w:type="dxa" w:w="33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Показатель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Формула расчета</w:t>
            </w:r>
          </w:p>
        </w:tc>
      </w:tr>
      <w:tr>
        <w:tc>
          <w:tcPr>
            <w:tcW w:type="dxa" w:w="33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Доля молодежи, вовлеченной в деятельность детских и молодежных общественных объединений, от общего числа молодежи</w:t>
            </w:r>
          </w:p>
          <w:p w14:paraId="E8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 xml:space="preserve">Ч                              </w:t>
            </w:r>
          </w:p>
          <w:p w14:paraId="EA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оо                            </w:t>
            </w:r>
          </w:p>
          <w:p w14:paraId="EB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Д   = ------ x 100%, где:             </w:t>
            </w:r>
          </w:p>
          <w:p w14:paraId="EC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 xml:space="preserve">оо     Ч                              </w:t>
            </w:r>
          </w:p>
          <w:p w14:paraId="ED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 xml:space="preserve">общ      </w:t>
            </w:r>
          </w:p>
          <w:p w14:paraId="EE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  <w:vertAlign w:val="subscript"/>
              </w:rPr>
              <w:t>ОО</w:t>
            </w:r>
            <w:r>
              <w:rPr>
                <w:rFonts w:ascii="Times New Roman" w:hAnsi="Times New Roman"/>
                <w:sz w:val="28"/>
              </w:rPr>
              <w:t xml:space="preserve">  - доля молодежи, вовлеченной в деятельность детских и молодежных общественных объединений, от общего числа молодежи (%);</w:t>
            </w:r>
          </w:p>
          <w:p w14:paraId="EF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0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ОО </w:t>
            </w:r>
            <w:r>
              <w:rPr>
                <w:rFonts w:ascii="Times New Roman" w:hAnsi="Times New Roman"/>
                <w:sz w:val="28"/>
              </w:rPr>
              <w:t>– количество молодежи 14-30 лет, вовлеченной в деятельность детских и молодежных общественных объединений, согласно данным ведомственной отчетности (человек);</w:t>
            </w:r>
          </w:p>
          <w:p w14:paraId="F1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2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ОБЩ </w:t>
            </w:r>
            <w:r>
              <w:rPr>
                <w:rFonts w:ascii="Times New Roman" w:hAnsi="Times New Roman"/>
                <w:sz w:val="28"/>
              </w:rPr>
              <w:t>– общее количество населения в возрасте от 14 до 30 лет(человек).</w:t>
            </w:r>
          </w:p>
          <w:p w14:paraId="F3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</w:t>
            </w:r>
          </w:p>
        </w:tc>
      </w:tr>
      <w:tr>
        <w:tc>
          <w:tcPr>
            <w:tcW w:type="dxa" w:w="33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Доля молодежи, вовлеченной в волонтерскую</w:t>
            </w:r>
          </w:p>
          <w:p w14:paraId="F5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(добровольческую) деятельность, от общего числа молодежи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 xml:space="preserve">Ч                              </w:t>
            </w:r>
          </w:p>
          <w:p w14:paraId="F7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д                            </w:t>
            </w:r>
          </w:p>
          <w:p w14:paraId="F8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Д   = ------ x 100%, где:             </w:t>
            </w:r>
          </w:p>
          <w:p w14:paraId="F9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 xml:space="preserve">д    Ч                              </w:t>
            </w:r>
          </w:p>
          <w:p w14:paraId="FA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общ    </w:t>
            </w:r>
          </w:p>
          <w:p w14:paraId="FB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  <w:vertAlign w:val="subscript"/>
              </w:rPr>
              <w:t>Д</w:t>
            </w:r>
            <w:r>
              <w:rPr>
                <w:rFonts w:ascii="Times New Roman" w:hAnsi="Times New Roman"/>
                <w:sz w:val="28"/>
              </w:rPr>
              <w:t xml:space="preserve">  - доля молодых людей, принимающих участие в добровольческой деятельности,  от общего числа молодежи (%);</w:t>
            </w:r>
          </w:p>
          <w:p w14:paraId="FC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D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Д </w:t>
            </w:r>
            <w:r>
              <w:rPr>
                <w:rFonts w:ascii="Times New Roman" w:hAnsi="Times New Roman"/>
                <w:sz w:val="28"/>
              </w:rPr>
              <w:t>– количество молодежи 14-30 лет, принимающих участие в добровольческой деятельности, согласно данным ведомственной отчетности (человек);</w:t>
            </w:r>
          </w:p>
          <w:p w14:paraId="FE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F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ОБЩ </w:t>
            </w:r>
            <w:r>
              <w:rPr>
                <w:rFonts w:ascii="Times New Roman" w:hAnsi="Times New Roman"/>
                <w:sz w:val="28"/>
              </w:rPr>
              <w:t xml:space="preserve">– общее количество населения в возрасте от 14 до 30 лет(человек).  </w:t>
            </w:r>
          </w:p>
          <w:p w14:paraId="0001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3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Доля молодых людей, участвующих в программах и проектах в сфере поддержки талантливой молодежи, от общего числа молодежи</w:t>
            </w:r>
          </w:p>
          <w:p w14:paraId="0201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 xml:space="preserve">Ч                              </w:t>
            </w:r>
          </w:p>
          <w:p w14:paraId="04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тал.                            </w:t>
            </w:r>
          </w:p>
          <w:p w14:paraId="05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Д   = ------ x 100%, где:             </w:t>
            </w:r>
          </w:p>
          <w:p w14:paraId="06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 xml:space="preserve">тал.  Ч                              </w:t>
            </w:r>
          </w:p>
          <w:p w14:paraId="0701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общ    </w:t>
            </w:r>
          </w:p>
          <w:p w14:paraId="0801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  <w:vertAlign w:val="subscript"/>
              </w:rPr>
              <w:t>ТАЛ.</w:t>
            </w:r>
            <w:r>
              <w:rPr>
                <w:rFonts w:ascii="Times New Roman" w:hAnsi="Times New Roman"/>
                <w:sz w:val="28"/>
              </w:rPr>
              <w:t xml:space="preserve"> - доля молодых людей, участвующих в программах и проектах в сфере поддержки талантливой молодежи, от общего числа молодежи (%);</w:t>
            </w:r>
          </w:p>
          <w:p w14:paraId="0901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A01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ТАЛ. </w:t>
            </w:r>
            <w:r>
              <w:rPr>
                <w:rFonts w:ascii="Times New Roman" w:hAnsi="Times New Roman"/>
                <w:sz w:val="28"/>
              </w:rPr>
              <w:t>– количество молодежи 14-30 лет, участвующих в программах и проектах в сфере поддержки талантливой молодежи, согласно данным ведомственной отчетности (человек);</w:t>
            </w:r>
          </w:p>
          <w:p w14:paraId="0B01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C01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ОБЩ </w:t>
            </w:r>
            <w:r>
              <w:rPr>
                <w:rFonts w:ascii="Times New Roman" w:hAnsi="Times New Roman"/>
                <w:sz w:val="28"/>
              </w:rPr>
              <w:t xml:space="preserve">– общее количество населения в возрасте от 14 до 30 лет(человек).  </w:t>
            </w:r>
          </w:p>
        </w:tc>
      </w:tr>
    </w:tbl>
    <w:p w14:paraId="0D010000">
      <w:pPr>
        <w:widowControl w:val="0"/>
        <w:ind w:firstLine="540" w:left="0" w:right="0"/>
        <w:jc w:val="both"/>
        <w:rPr>
          <w:rFonts w:ascii="Times New Roman" w:hAnsi="Times New Roman"/>
          <w:sz w:val="24"/>
        </w:rPr>
      </w:pPr>
    </w:p>
    <w:p w14:paraId="0E010000">
      <w:pPr>
        <w:widowControl w:val="0"/>
        <w:spacing w:line="276" w:lineRule="auto"/>
        <w:ind w:firstLine="85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2.3. Описание ожидаемых результатов реализации муниципальной программы.</w:t>
      </w:r>
    </w:p>
    <w:p w14:paraId="0F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охват  молодежи,   получающей    социальные    услуги   в    рамках реализации             молодежных</w:t>
      </w:r>
      <w:r>
        <w:rPr>
          <w:rFonts w:ascii="Times New Roman" w:hAnsi="Times New Roman"/>
          <w:color w:val="FFFFFF"/>
          <w:sz w:val="28"/>
        </w:rPr>
        <w:t>—</w:t>
      </w:r>
      <w:r>
        <w:rPr>
          <w:rFonts w:ascii="Times New Roman" w:hAnsi="Times New Roman"/>
          <w:sz w:val="28"/>
        </w:rPr>
        <w:t>программ увеличится на 550</w:t>
      </w:r>
      <w:r>
        <w:rPr>
          <w:rFonts w:ascii="Times New Roman" w:hAnsi="Times New Roman"/>
          <w:color w:val="FFFFFF"/>
          <w:sz w:val="28"/>
        </w:rPr>
        <w:t>…</w:t>
      </w:r>
      <w:r>
        <w:rPr>
          <w:rFonts w:ascii="Times New Roman" w:hAnsi="Times New Roman"/>
          <w:sz w:val="28"/>
        </w:rPr>
        <w:t>человек;</w:t>
      </w:r>
    </w:p>
    <w:p w14:paraId="10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доля   молодежи,   вовлеченной     в          деятельность детских и молодежных общественных объединений, от общего</w:t>
      </w:r>
      <w:r>
        <w:rPr>
          <w:rFonts w:ascii="Times New Roman" w:hAnsi="Times New Roman"/>
          <w:color w:val="FFFFFF"/>
          <w:sz w:val="28"/>
        </w:rPr>
        <w:t>…</w:t>
      </w:r>
      <w:r>
        <w:rPr>
          <w:rFonts w:ascii="Times New Roman" w:hAnsi="Times New Roman"/>
          <w:sz w:val="28"/>
        </w:rPr>
        <w:t>числа</w:t>
      </w:r>
      <w:r>
        <w:rPr>
          <w:rFonts w:ascii="Times New Roman" w:hAnsi="Times New Roman"/>
          <w:color w:val="FFFFFF"/>
          <w:sz w:val="28"/>
        </w:rPr>
        <w:t>…..</w:t>
      </w:r>
      <w:r>
        <w:rPr>
          <w:rFonts w:ascii="Times New Roman" w:hAnsi="Times New Roman"/>
          <w:sz w:val="28"/>
        </w:rPr>
        <w:t>молодежи</w:t>
      </w:r>
      <w:r>
        <w:rPr>
          <w:rFonts w:ascii="Times New Roman" w:hAnsi="Times New Roman"/>
          <w:color w:val="FFFFFF"/>
          <w:sz w:val="28"/>
        </w:rPr>
        <w:t>.</w:t>
      </w:r>
      <w:r>
        <w:rPr>
          <w:rFonts w:ascii="Times New Roman" w:hAnsi="Times New Roman"/>
          <w:sz w:val="28"/>
        </w:rPr>
        <w:t xml:space="preserve"> возрастет на 44,0%;</w:t>
      </w:r>
    </w:p>
    <w:p w14:paraId="11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- доля   молодежи,    вовлеченной      в      волонтерскую (добровольческую) деятельность,   от     общего числа молодежи </w:t>
      </w:r>
      <w:r>
        <w:rPr>
          <w:rFonts w:ascii="Times New Roman" w:hAnsi="Times New Roman"/>
          <w:color w:val="FFFFFF"/>
          <w:sz w:val="28"/>
        </w:rPr>
        <w:t>.</w:t>
      </w:r>
      <w:r>
        <w:rPr>
          <w:rFonts w:ascii="Times New Roman" w:hAnsi="Times New Roman"/>
          <w:sz w:val="28"/>
        </w:rPr>
        <w:t xml:space="preserve">возрастет на 22%;                                                                      - доля молодых людей, участвующих в программах и проектах в сфере поддержки талантливой молодежи, от общего числа молодежи возрастет на  33,0%.                          </w:t>
      </w:r>
    </w:p>
    <w:p w14:paraId="12010000">
      <w:pPr>
        <w:widowControl w:val="0"/>
        <w:tabs>
          <w:tab w:leader="none" w:pos="285" w:val="left"/>
        </w:tabs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instrText>HYPERLINK "../../../%D0%90%D0%9B%D0%98%D0%9D%D0%90%20%D1%80%D0%B0%D0%B1%D0%BE%D1%87%D0%B8%D0%B9%20%D1%81%D1%82%D0%BE%D0%BB%20%D0%90%D0%94%D0%9C%D0%98%D0%9D%D0%98%D0%A1%D0%A2%D0%A0%D0%90%D0%A6%D0%98%D0%AF/%D0%A1%D0%9F%D0%9E%D0%A0%D0%A2%20%D0%9A%D0%A3%D0%9B%D0%AC%D0%A2%D0%A3%D0%A0%D0%90%20%D0%9C%D0%9E%D0%9B%D0%9E%D0%94%D0%95%D0%96%D0%9D%D0%90%D0%AF%20%D0%9F%D0%90%D0%9B%D0%98%D0%A2%D0%98%D0%9A%D0%90/%D0%BC%D0%BE%D0%BB%D0%BE%D0%B4%D0%B5%D0%B6%D0%BD%D1%8B%D0%B9%20%D0%BF%D0%B0%D1%80%D0%BB%D0%B0%D0%BC%D0%B5%D0%BD%D1%82%202015-2016//D:/%D0%A0%D0%B0%D0%B1%D0%BE%D1%87%D0%B0%D1%8F/%D0%9C%D0%BE%D0%B8%20%D0%B4%D0%BE%D0%BA%D1%83%D0%BC%D0%B5%D0%BD%D1%82%D1%8B/%D0%A1%D0%BE%D0%B7%D0%BE%D0%BD%D0%BE%D0%B2%D0%B0%20%D0%9B.%D0%9D/%D0%9F%D1%80%D0%BE%D0%B3%D1%80%D0%B0%D0%BC%D0%BC%D1%8B/%D0%B3%D0%BE%D1%81%D0%BF%D1%80%D0%BE%D0%B3%D1%80%D0%B0%D0%BC%D0%BC%D0%B0%20%D0%BC%D0%BE%D0%BB%D0%BE%D0%B4%D0%B5%D0%B6%D1%8C.doc#Par653%23Par653"</w:instrTex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>Сведения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о показателях (индикаторах) муниципальной программы, подпрограммы  представлены</w:t>
      </w:r>
      <w:r>
        <w:rPr>
          <w:rFonts w:ascii="Times New Roman" w:hAnsi="Times New Roman"/>
          <w:sz w:val="28"/>
          <w:u w:val="none"/>
        </w:rPr>
        <w:t xml:space="preserve"> в Приложении 1.</w:t>
      </w:r>
    </w:p>
    <w:p w14:paraId="13010000">
      <w:pPr>
        <w:widowControl w:val="0"/>
        <w:tabs>
          <w:tab w:leader="none" w:pos="285" w:val="left"/>
        </w:tabs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2.4. Сроки реализации муниципальной программы.</w:t>
      </w:r>
    </w:p>
    <w:p w14:paraId="14010000">
      <w:pPr>
        <w:widowControl w:val="0"/>
        <w:spacing w:line="276" w:lineRule="auto"/>
        <w:ind w:firstLine="68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Муниципальная программа реализуется в период с 01.01. 2019 по 31.12.2030 годы.</w:t>
      </w:r>
    </w:p>
    <w:p w14:paraId="15010000">
      <w:pPr>
        <w:widowControl w:val="0"/>
        <w:ind w:firstLine="283" w:left="0" w:right="0"/>
        <w:jc w:val="both"/>
        <w:rPr>
          <w:rFonts w:ascii="Times New Roman" w:hAnsi="Times New Roman"/>
          <w:sz w:val="24"/>
        </w:rPr>
      </w:pPr>
    </w:p>
    <w:p w14:paraId="1601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 Обобщенная характеристика мероприятий муниципальной  программы Покровского сельского поселения  «Развитие  молодежной политики в Покровском сельском поселении»</w:t>
      </w:r>
    </w:p>
    <w:p w14:paraId="17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18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Реализация муниципальной программы будет осуществляться посредством реализации подпрограммы «Развитие  молодежной политики», плана реализации муниципальной программы.</w:t>
      </w:r>
    </w:p>
    <w:p w14:paraId="19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Сведения о подпрограмме и ее мероприятиях на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 представлены в Приложении 2.</w:t>
      </w:r>
    </w:p>
    <w:p w14:paraId="1A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bookmarkStart w:id="1" w:name="Par402"/>
      <w:bookmarkEnd w:id="1"/>
      <w:r>
        <w:rPr>
          <w:rFonts w:ascii="Times New Roman" w:hAnsi="Times New Roman"/>
          <w:sz w:val="28"/>
        </w:rPr>
        <w:t>3.1.Решение задачи «</w:t>
      </w:r>
      <w:r>
        <w:rPr>
          <w:rFonts w:ascii="Times New Roman" w:hAnsi="Times New Roman"/>
          <w:sz w:val="28"/>
        </w:rPr>
        <w:t>Обеспечение    межведомственной    координации   в    вопросах    развития молодежной самоорганизации, инновационной и  творческой деятельности, профилактики  асоциальных  явлений   в молодежной среде, пропаганды здорового образа  жизни, патриотического воспитания  и  формирования  семейных ценностей</w:t>
      </w:r>
      <w:r>
        <w:rPr>
          <w:rFonts w:ascii="Times New Roman" w:hAnsi="Times New Roman"/>
          <w:sz w:val="28"/>
        </w:rPr>
        <w:t>»  планируется осуществлять посредством реализации комплекса мероприятий по следующим направлениям:</w:t>
      </w:r>
    </w:p>
    <w:p w14:paraId="1B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Формирование системы поддержки и продвижения инициативной и талантливой молодежи:</w:t>
      </w:r>
    </w:p>
    <w:p w14:paraId="1C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мотивация молодежи к инновационной, исследовательской, изобретательской деятельностям и стимулирование данной деятельности;</w:t>
      </w:r>
    </w:p>
    <w:p w14:paraId="1D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создание условий для раскрытия творческого и научного потенциала молодежи.</w:t>
      </w:r>
    </w:p>
    <w:p w14:paraId="1E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Основными механизмами работы по данному направлению станут:</w:t>
      </w:r>
    </w:p>
    <w:p w14:paraId="1F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сбор, хранение и актуализация информации о талантливых молодых людях;</w:t>
      </w:r>
    </w:p>
    <w:p w14:paraId="20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комплексное и индивидуальное информирование талантливых молодых людей 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имеющихся возможностях;</w:t>
      </w:r>
    </w:p>
    <w:p w14:paraId="21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организация отбора талантливой молодежи на муниципальном уровне (конкурсы, олимпиады);</w:t>
      </w:r>
    </w:p>
    <w:p w14:paraId="22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организация участия талантливой молодежи в межмуниципальных, региональных,  всероссийских мероприятиях и проектах: выставках, конкурсах, фестивалях, акциях, лагерях и сборах.</w:t>
      </w:r>
    </w:p>
    <w:p w14:paraId="23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Вовлечение молодежи в социальную практику. Гражданская культура и самоорганизация молодежи:</w:t>
      </w:r>
    </w:p>
    <w:p w14:paraId="24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выстраивание профессиональных установок и карьерных траекторий;</w:t>
      </w:r>
    </w:p>
    <w:p w14:paraId="25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стимулирование общественной активности молодежи;</w:t>
      </w:r>
    </w:p>
    <w:p w14:paraId="26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развитие волонтерского движения, поддержка общественных инициатив;</w:t>
      </w:r>
    </w:p>
    <w:p w14:paraId="27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популяризацию здорового образа жизни;</w:t>
      </w:r>
    </w:p>
    <w:p w14:paraId="28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формирование у молодежи толерантности и уважения к представителям других народов, культур, религий, их традициям и духовно-нравственным ценностям.</w:t>
      </w:r>
    </w:p>
    <w:p w14:paraId="29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Основными механизмами работы по данному направлению станут:</w:t>
      </w:r>
    </w:p>
    <w:p w14:paraId="2A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сбор, хранение и актуализация информации о молодежи, активно участвующей в жизни общества (волонтерах, молодежных организациях, молодых предпринимателях и т.д.);</w:t>
      </w:r>
    </w:p>
    <w:p w14:paraId="2B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комплексное и индивидуальное информирование молодых людей об имеющихся возможностях (реализуемых программах, акциях, мероприятиях);</w:t>
      </w:r>
    </w:p>
    <w:p w14:paraId="2C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развитие механизмов и форм трансляции в молодежную аудиторию актуальной информации о социальных, экономических, политических, культурных событиях и вовлечение в этот процесс молодежи;</w:t>
      </w:r>
    </w:p>
    <w:p w14:paraId="2D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проведение имиджевых мероприятий в сфере добровольчества, мероприятий по популяризации общественной активности;</w:t>
      </w:r>
    </w:p>
    <w:p w14:paraId="2E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реализация проектов по поддержке добровольчества;</w:t>
      </w:r>
    </w:p>
    <w:p w14:paraId="2F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реализация проектов по военно-патриотическому воспитанию молодежи;</w:t>
      </w:r>
    </w:p>
    <w:p w14:paraId="30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проведение семинаров, круглых столов по вопросам гражданско-патриотического воспитания молодежи, мероприятий, посвященных памятным календарным датам воинской славы России.</w:t>
      </w:r>
    </w:p>
    <w:p w14:paraId="31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bookmarkStart w:id="2" w:name="Par455"/>
      <w:bookmarkEnd w:id="2"/>
      <w:r>
        <w:rPr>
          <w:rFonts w:ascii="Times New Roman" w:hAnsi="Times New Roman"/>
          <w:sz w:val="28"/>
        </w:rPr>
        <w:t>Решение задачи «</w:t>
      </w:r>
      <w:r>
        <w:rPr>
          <w:rFonts w:ascii="Times New Roman" w:hAnsi="Times New Roman"/>
          <w:sz w:val="28"/>
        </w:rPr>
        <w:t>Развитие межпоселенческого сотрудничества молодежи</w:t>
      </w:r>
      <w:r>
        <w:rPr>
          <w:rFonts w:ascii="Times New Roman" w:hAnsi="Times New Roman"/>
          <w:sz w:val="28"/>
        </w:rPr>
        <w:t>»  планируется участие в реализации районных мероприятий, направленных на обучение и методическую подготовку представителей образовательных учреждений, молодежных общественных объединений по работе с добровольческими программами, реализацию межмуниципальных молодежных проектов.</w:t>
      </w:r>
    </w:p>
    <w:p w14:paraId="32010000">
      <w:pPr>
        <w:widowControl w:val="0"/>
        <w:ind w:firstLine="0" w:left="0" w:right="0"/>
        <w:jc w:val="center"/>
        <w:rPr>
          <w:rFonts w:ascii="Times New Roman" w:hAnsi="Times New Roman"/>
          <w:sz w:val="23"/>
        </w:rPr>
      </w:pPr>
    </w:p>
    <w:p w14:paraId="3301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 Основные меры правового регулирования в сфере реализации муниципальной программы Покровского сельского поселения </w:t>
      </w:r>
    </w:p>
    <w:p w14:paraId="3401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«Развитие  молодежной политики в Покровском сельском поселении»</w:t>
      </w:r>
    </w:p>
    <w:p w14:paraId="35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36010000">
      <w:pPr>
        <w:widowControl w:val="0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Основанием для разработки и реализация муниципальной программы Покровского сельского поселения «Развитие молодежной политики в Покровском сельском поселении» являются  </w:t>
      </w:r>
      <w:r>
        <w:rPr>
          <w:rStyle w:val="Style_6_ch"/>
          <w:rFonts w:ascii="Times New Roman" w:hAnsi="Times New Roman"/>
          <w:sz w:val="28"/>
        </w:rPr>
        <w:fldChar w:fldCharType="begin"/>
      </w:r>
      <w:r>
        <w:rPr>
          <w:rStyle w:val="Style_6_ch"/>
          <w:rFonts w:ascii="Times New Roman" w:hAnsi="Times New Roman"/>
          <w:sz w:val="28"/>
        </w:rPr>
        <w:instrText>HYPERLINK "http://internet.garant.ru/#/document/19522733/paragraph/47/doclist/0/selflink/0/context/Федеральный Закон О государственной молодежной политике в Российской Федерации/"</w:instrText>
      </w:r>
      <w:r>
        <w:rPr>
          <w:rStyle w:val="Style_6_ch"/>
          <w:rFonts w:ascii="Times New Roman" w:hAnsi="Times New Roman"/>
          <w:sz w:val="28"/>
        </w:rPr>
        <w:fldChar w:fldCharType="separate"/>
      </w:r>
      <w:r>
        <w:rPr>
          <w:rStyle w:val="Style_6_ch"/>
          <w:rFonts w:ascii="Times New Roman" w:hAnsi="Times New Roman"/>
          <w:sz w:val="28"/>
        </w:rPr>
        <w:t>Областной закон Ростовской области от 25 декабря 2014 г. N 309-ЗС «О государственной молодежной политике в Ростовской области</w:t>
      </w:r>
      <w:r>
        <w:rPr>
          <w:rStyle w:val="Style_6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u w:val="none"/>
        </w:rPr>
        <w:t>»</w:t>
      </w:r>
      <w:r>
        <w:rPr>
          <w:rFonts w:ascii="Times New Roman" w:hAnsi="Times New Roman"/>
          <w:sz w:val="28"/>
        </w:rPr>
        <w:t>,  Стратегия  социально-экономического развития Ростовской области  на период до 2030 года.</w:t>
      </w:r>
    </w:p>
    <w:p w14:paraId="37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3801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5. Ресурсное обеспечение муниципальной программы </w:t>
      </w:r>
      <w:r>
        <w:rPr>
          <w:rFonts w:ascii="Times New Roman" w:hAnsi="Times New Roman"/>
          <w:b w:val="0"/>
          <w:sz w:val="28"/>
        </w:rPr>
        <w:t>Покровского сельского поселения «Развитие молодежной политики в Покровском сельском поселении»</w:t>
      </w:r>
    </w:p>
    <w:p w14:paraId="39010000">
      <w:pPr>
        <w:widowControl w:val="0"/>
        <w:ind w:firstLine="0" w:left="0" w:right="0"/>
        <w:jc w:val="center"/>
        <w:rPr>
          <w:rFonts w:ascii="Times New Roman" w:hAnsi="Times New Roman"/>
          <w:sz w:val="28"/>
        </w:rPr>
      </w:pPr>
    </w:p>
    <w:p w14:paraId="3A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Расходы муниципальной программы формируются за счет средств местного бюджета.</w:t>
      </w:r>
    </w:p>
    <w:p w14:paraId="3B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Общий объем финансирования муниципальной программы на 2019 - 2030 годы составит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427,7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ты</w:t>
      </w:r>
      <w:r>
        <w:rPr>
          <w:rFonts w:ascii="Times New Roman" w:hAnsi="Times New Roman"/>
          <w:sz w:val="28"/>
        </w:rPr>
        <w:t>с. рублей,</w:t>
      </w:r>
      <w:r>
        <w:rPr>
          <w:rFonts w:ascii="Times New Roman" w:hAnsi="Times New Roman"/>
          <w:sz w:val="28"/>
        </w:rPr>
        <w:t xml:space="preserve"> в том числе:</w:t>
      </w:r>
    </w:p>
    <w:p w14:paraId="3C010000">
      <w:p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местный бюджет – </w:t>
      </w:r>
      <w:r>
        <w:rPr>
          <w:rFonts w:ascii="Times New Roman" w:hAnsi="Times New Roman"/>
          <w:sz w:val="28"/>
        </w:rPr>
        <w:t>427,7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тыс. рублей.</w:t>
      </w:r>
    </w:p>
    <w:p w14:paraId="3D010000">
      <w:pPr>
        <w:widowControl w:val="0"/>
        <w:spacing w:line="276" w:lineRule="auto"/>
        <w:ind w:firstLine="68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Объем ежегодных расходов, связанных с финансовым обеспечением муниципальной программы за счет местного бюджета, устанавливается решением Собрания депутатов о бюджете Покровского поселения на очередной финансовый год и плановый период.</w:t>
      </w:r>
    </w:p>
    <w:p w14:paraId="3E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Информация о расходах бюджета Покровского сельского поселения на реализацию муниципальной программы представлена в П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instrText>HYPERLINK "../../../%D0%90%D0%9B%D0%98%D0%9D%D0%90%20%D1%80%D0%B0%D0%B1%D0%BE%D1%87%D0%B8%D0%B9%20%D1%81%D1%82%D0%BE%D0%BB%20%D0%90%D0%94%D0%9C%D0%98%D0%9D%D0%98%D0%A1%D0%A2%D0%A0%D0%90%D0%A6%D0%98%D0%AF/%D0%A1%D0%9F%D0%9E%D0%A0%D0%A2%20%D0%9A%D0%A3%D0%9B%D0%AC%D0%A2%D0%A3%D0%A0%D0%90%20%D0%9C%D0%9E%D0%9B%D0%9E%D0%94%D0%95%D0%96%D0%9D%D0%90%D0%AF%20%D0%9F%D0%90%D0%9B%D0%98%D0%A2%D0%98%D0%9A%D0%90/%D0%BC%D0%BE%D0%BB%D0%BE%D0%B4%D0%B5%D0%B6%D0%BD%D1%8B%D0%B9%20%D0%BF%D0%B0%D1%80%D0%BB%D0%B0%D0%BC%D0%B5%D0%BD%D1%82%202015-2016//D:/%D0%A0%D0%B0%D0%B1%D0%BE%D1%87%D0%B0%D1%8F/%D0%9C%D0%BE%D0%B8%20%D0%B4%D0%BE%D0%BA%D1%83%D0%BC%D0%B5%D0%BD%D1%82%D1%8B/%D0%A1%D0%BE%D0%B7%D0%BE%D0%BD%D0%BE%D0%B2%D0%B0%20%D0%9B.%D0%9D/%D0%9F%D1%80%D0%BE%D0%B3%D1%80%D0%B0%D0%BC%D0%BC%D1%8B/%D0%B3%D0%BE%D1%81%D0%BF%D1%80%D0%BE%D0%B3%D1%80%D0%B0%D0%BC%D0%BC%D0%B0%20%D0%BC%D0%BE%D0%BB%D0%BE%D0%B4%D0%B5%D0%B6%D1%8C.doc#Par1125%23Par1125"</w:instrTex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>риложении 3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  <w:u w:val="none"/>
        </w:rPr>
        <w:t>.</w:t>
      </w:r>
    </w:p>
    <w:p w14:paraId="3F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u w:val="none"/>
        </w:rPr>
        <w:t xml:space="preserve">Информация о расходах на реализацию муниципальной программы представлена в </w:t>
      </w:r>
      <w:r>
        <w:rPr>
          <w:rFonts w:ascii="Times New Roman" w:hAnsi="Times New Roman"/>
          <w:color w:val="000000"/>
          <w:sz w:val="28"/>
          <w:u w:val="none"/>
        </w:rPr>
        <w:t>Приложении 4.</w:t>
      </w:r>
    </w:p>
    <w:p w14:paraId="40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4101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6. Анализ рисков реализации муниципальной программы </w:t>
      </w:r>
      <w:r>
        <w:rPr>
          <w:rFonts w:ascii="Times New Roman" w:hAnsi="Times New Roman"/>
          <w:b w:val="0"/>
          <w:sz w:val="28"/>
        </w:rPr>
        <w:t xml:space="preserve">Покровского сельского поселения «Развитие молодежной политики в Покровском сельском поселении» </w:t>
      </w:r>
      <w:r>
        <w:rPr>
          <w:rFonts w:ascii="Times New Roman" w:hAnsi="Times New Roman"/>
          <w:sz w:val="28"/>
        </w:rPr>
        <w:t>и описание мер управления рисками</w:t>
      </w:r>
    </w:p>
    <w:p w14:paraId="42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43010000">
      <w:pPr>
        <w:widowControl w:val="0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14:paraId="44010000">
      <w:pPr>
        <w:widowControl w:val="0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Риски реализации муниципальной программы, которыми может управлять ответственный исполнитель, уменьшая вероятность их возникновения, приведены в  Таблице 2.</w:t>
      </w:r>
    </w:p>
    <w:p w14:paraId="45010000">
      <w:pPr>
        <w:widowControl w:val="0"/>
        <w:ind w:firstLine="0" w:left="0" w:right="0"/>
        <w:jc w:val="right"/>
        <w:rPr>
          <w:rFonts w:ascii="Times New Roman" w:hAnsi="Times New Roman"/>
          <w:sz w:val="28"/>
        </w:rPr>
      </w:pPr>
    </w:p>
    <w:p w14:paraId="46010000">
      <w:pPr>
        <w:widowControl w:val="0"/>
        <w:ind w:firstLine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Таблица 2</w:t>
      </w:r>
    </w:p>
    <w:p w14:paraId="4701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Риски реализации муниципальной программы</w:t>
      </w:r>
    </w:p>
    <w:p w14:paraId="4801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 меры управления рисками</w:t>
      </w:r>
    </w:p>
    <w:p w14:paraId="49010000">
      <w:pPr>
        <w:widowControl w:val="0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860"/>
        <w:gridCol w:w="5010"/>
      </w:tblGrid>
      <w:tr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Вид риска</w:t>
            </w:r>
          </w:p>
        </w:tc>
        <w:tc>
          <w:tcPr>
            <w:tcW w:type="dxa" w:w="5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Меры по управлению рисками</w:t>
            </w:r>
          </w:p>
        </w:tc>
      </w:tr>
      <w:tr>
        <w:trPr>
          <w:trHeight w:hRule="atLeast" w:val="1200"/>
        </w:trPr>
        <w:tc>
          <w:tcPr>
            <w:tcW w:type="dxa" w:w="48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Отсутствие      финансирования      либо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финансирование  в  недостаточном  объеме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мероприятий муниципальной программы   </w:t>
            </w:r>
          </w:p>
        </w:tc>
        <w:tc>
          <w:tcPr>
            <w:tcW w:type="dxa" w:w="50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Определение приоритетных направлений реализации муниципальной программы, оперативное внесение соответствующих корректировок в муниципальную программу</w:t>
            </w:r>
          </w:p>
          <w:p w14:paraId="4E01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rPr>
          <w:trHeight w:hRule="atLeast" w:val="1200"/>
        </w:trPr>
        <w:tc>
          <w:tcPr>
            <w:tcW w:type="dxa" w:w="48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Возможное   изменение   федерального   и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регионального законодательства          </w:t>
            </w:r>
          </w:p>
        </w:tc>
        <w:tc>
          <w:tcPr>
            <w:tcW w:type="dxa" w:w="50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Оперативное внесение изменений в действующие правовые акты и (или) принятие новых актов, касающихся сферы действия данной муниципальной программы</w:t>
            </w:r>
          </w:p>
          <w:p w14:paraId="5101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rPr>
          <w:trHeight w:hRule="atLeast" w:val="1200"/>
        </w:trPr>
        <w:tc>
          <w:tcPr>
            <w:tcW w:type="dxa" w:w="48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Повышение социальной напряженности среди молодежи     из-за     неполной      или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недостоверной информации  о  реализуемых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мероприятиях,  субъективные  факторы   в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молодежной  среде  (готовность  участия,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направленность интереса и т.д.)         </w:t>
            </w:r>
          </w:p>
        </w:tc>
        <w:tc>
          <w:tcPr>
            <w:tcW w:type="dxa" w:w="50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Открытость и прозрачность планов мероприятий и практических действий, информационное сопровождение муниципальной программы</w:t>
            </w:r>
          </w:p>
          <w:p w14:paraId="54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</w:tbl>
    <w:p w14:paraId="55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56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целевого финансирования, применения технологии решения актуальных проблем в молодежной среде с участием самой молодежи.</w:t>
      </w:r>
    </w:p>
    <w:p w14:paraId="57010000">
      <w:pPr>
        <w:widowControl w:val="0"/>
        <w:ind w:firstLine="0" w:left="0" w:right="0"/>
        <w:jc w:val="center"/>
        <w:rPr>
          <w:rFonts w:ascii="Times New Roman" w:hAnsi="Times New Roman"/>
        </w:rPr>
      </w:pPr>
    </w:p>
    <w:p w14:paraId="5801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7. Методика оценки эффективности реализации муниципальной программы </w:t>
      </w:r>
      <w:r>
        <w:rPr>
          <w:rFonts w:ascii="Times New Roman" w:hAnsi="Times New Roman"/>
          <w:b w:val="0"/>
          <w:sz w:val="28"/>
        </w:rPr>
        <w:t>Покровского сельского поселения «Развитие молодежной политики в Покровском сельском поселении»</w:t>
      </w:r>
    </w:p>
    <w:p w14:paraId="59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5A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Оценка эффективности муниципальной программы осуществляется по годам в течение всего срока реализации муниципальной программы.</w:t>
      </w:r>
    </w:p>
    <w:p w14:paraId="5B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Оценка эффективности муниципальной программы осуществляется по следующим критериям:</w:t>
      </w:r>
    </w:p>
    <w:p w14:paraId="5C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Критерий «Степень достижения целевых показателей муниципальной программы» базируется на анализе целевых показателей, указанных в муниципальной программе, подпрограмме и характеризует степень достижения целей и решения задач подпрограммы и муниципальной программы. Критерий рассчитывается по формуле: 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19"/>
        <w:gridCol w:w="5119"/>
      </w:tblGrid>
      <w:tr>
        <w:trPr>
          <w:trHeight w:hRule="atLeast" w:val="352"/>
        </w:trPr>
        <w:tc>
          <w:tcPr>
            <w:tcW w:type="dxa" w:w="4519"/>
            <w:vMerge w:val="restart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5D010000">
            <w:pPr>
              <w:widowControl w:val="0"/>
              <w:spacing w:line="276" w:lineRule="auto"/>
              <w:ind w:hanging="680" w:left="3543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КЦИi=</w:t>
            </w:r>
          </w:p>
        </w:tc>
        <w:tc>
          <w:tcPr>
            <w:tcW w:type="dxa" w:w="51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E010000">
            <w:pPr>
              <w:widowControl w:val="0"/>
              <w:spacing w:line="276" w:lineRule="auto"/>
              <w:ind w:hanging="680" w:left="709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ЦИФi</w:t>
            </w:r>
          </w:p>
        </w:tc>
      </w:tr>
      <w:tr>
        <w:trPr>
          <w:trHeight w:hRule="atLeast" w:val="305"/>
        </w:trPr>
        <w:tc>
          <w:tcPr>
            <w:tcW w:type="dxa" w:w="451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/>
        </w:tc>
        <w:tc>
          <w:tcPr>
            <w:tcW w:type="dxa" w:w="51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F010000">
            <w:pPr>
              <w:widowControl w:val="0"/>
              <w:spacing w:line="276" w:lineRule="auto"/>
              <w:ind w:hanging="680" w:left="709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ЦИПi ,</w:t>
            </w:r>
          </w:p>
        </w:tc>
      </w:tr>
    </w:tbl>
    <w:p w14:paraId="60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где КЦИi – степень достижения  целевого показателя подпрограммы , целевого показателя муниципальной программы;</w:t>
      </w:r>
    </w:p>
    <w:p w14:paraId="61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ЦИФi – фактическое значение целевого показателя подпрограммы , целевого показателя муниципальной программы;</w:t>
      </w:r>
    </w:p>
    <w:p w14:paraId="62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ЦИПi – плановое значение  целевого показателя подпрограммы , целевого показателя муниципальной программы.</w:t>
      </w:r>
    </w:p>
    <w:p w14:paraId="63010000">
      <w:pPr>
        <w:widowControl w:val="0"/>
        <w:tabs>
          <w:tab w:leader="none" w:pos="675" w:val="left"/>
        </w:tabs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Значение показателя КЦИi должно быть больше либо равно 1.</w:t>
      </w:r>
    </w:p>
    <w:p w14:paraId="64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подпрограммы  затраченным ресурсам и уровень эффективности использования средств бюджета. Критерий рассчитывается по формуле: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19"/>
        <w:gridCol w:w="5119"/>
      </w:tblGrid>
      <w:tr>
        <w:trPr>
          <w:trHeight w:hRule="atLeast" w:val="405"/>
        </w:trPr>
        <w:tc>
          <w:tcPr>
            <w:tcW w:type="dxa" w:w="4519"/>
            <w:vMerge w:val="restart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65010000">
            <w:pPr>
              <w:widowControl w:val="0"/>
              <w:spacing w:line="276" w:lineRule="auto"/>
              <w:ind w:hanging="680" w:left="4252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КБЗi=</w:t>
            </w:r>
          </w:p>
        </w:tc>
        <w:tc>
          <w:tcPr>
            <w:tcW w:type="dxa" w:w="51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66010000">
            <w:pPr>
              <w:widowControl w:val="0"/>
              <w:spacing w:line="276" w:lineRule="auto"/>
              <w:ind w:hanging="680" w:left="709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БЗФi</w:t>
            </w:r>
          </w:p>
        </w:tc>
      </w:tr>
      <w:tr>
        <w:trPr>
          <w:trHeight w:hRule="atLeast" w:val="305"/>
        </w:trPr>
        <w:tc>
          <w:tcPr>
            <w:tcW w:type="dxa" w:w="451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/>
        </w:tc>
        <w:tc>
          <w:tcPr>
            <w:tcW w:type="dxa" w:w="51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67010000">
            <w:pPr>
              <w:widowControl w:val="0"/>
              <w:spacing w:line="276" w:lineRule="auto"/>
              <w:ind w:hanging="680" w:left="709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БЗПi ,</w:t>
            </w:r>
          </w:p>
        </w:tc>
      </w:tr>
    </w:tbl>
    <w:p w14:paraId="68010000">
      <w:pPr>
        <w:widowControl w:val="0"/>
        <w:spacing w:line="276" w:lineRule="auto"/>
        <w:ind w:firstLine="68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где КБЗi – степень соответствия бюджетных затрат мероприятия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одпрограммы;</w:t>
      </w:r>
    </w:p>
    <w:p w14:paraId="69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БЗФi – фактическое значение бюджетных затрат мероприятия подпрограммы;</w:t>
      </w:r>
    </w:p>
    <w:p w14:paraId="6A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БЗПi – плановое (прогнозное) значение бюджетных затрат мероприятия подпро-граммы;</w:t>
      </w:r>
    </w:p>
    <w:p w14:paraId="6B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Значение показателя КБЗi должно быть меньше либо равно 1.</w:t>
      </w:r>
    </w:p>
    <w:p w14:paraId="6C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Эффективность выполнения муниципальной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14:paraId="6D010000">
      <w:pPr>
        <w:sectPr>
          <w:pgSz w:h="16838" w:orient="portrait" w:w="11906"/>
          <w:pgMar w:bottom="1134" w:footer="708" w:header="708" w:left="1134" w:right="1134" w:top="851"/>
          <w:pgNumType w:fmt="decimal"/>
        </w:sectPr>
      </w:pPr>
    </w:p>
    <w:p w14:paraId="6E010000">
      <w:pPr>
        <w:widowControl w:val="0"/>
        <w:ind/>
        <w:jc w:val="both"/>
        <w:rPr>
          <w:rFonts w:ascii="Times New Roman" w:hAnsi="Times New Roman"/>
          <w:b w:val="1"/>
          <w:sz w:val="24"/>
          <w:u w:val="single"/>
        </w:rPr>
      </w:pPr>
    </w:p>
    <w:p w14:paraId="6F010000">
      <w:pPr>
        <w:widowControl w:val="0"/>
        <w:ind/>
        <w:jc w:val="right"/>
      </w:pPr>
      <w:r>
        <w:rPr>
          <w:sz w:val="20"/>
        </w:rPr>
        <w:t>Приложение 1</w:t>
      </w:r>
    </w:p>
    <w:p w14:paraId="70010000">
      <w:pPr>
        <w:widowControl w:val="0"/>
        <w:ind/>
        <w:jc w:val="both"/>
        <w:rPr>
          <w:sz w:val="20"/>
          <w:u w:val="single"/>
        </w:rPr>
      </w:pPr>
    </w:p>
    <w:p w14:paraId="71010000">
      <w:pPr>
        <w:pStyle w:val="Style_7"/>
        <w:spacing w:line="100" w:lineRule="atLeast"/>
        <w:ind/>
        <w:jc w:val="center"/>
      </w:pPr>
      <w:bookmarkStart w:id="3" w:name="Par65311"/>
      <w:bookmarkEnd w:id="3"/>
      <w:r>
        <w:rPr>
          <w:rFonts w:ascii="Times New Roman" w:hAnsi="Times New Roman"/>
          <w:b w:val="1"/>
          <w:sz w:val="24"/>
        </w:rPr>
        <w:t>СВЕДЕНИЯ О ПОКАЗАТЕЛЯХ (ИНДИКАТОРАХ) МУНИЦИПАЛЬНОЙ ПРОГРАММЫ, ПОДПРОГРАММЫ</w:t>
      </w:r>
    </w:p>
    <w:tbl>
      <w:tblPr>
        <w:tblStyle w:val="Style_4"/>
        <w:tblInd w:type="dxa" w:w="-52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50"/>
        <w:gridCol w:w="2160"/>
        <w:gridCol w:w="1080"/>
        <w:gridCol w:w="795"/>
        <w:gridCol w:w="960"/>
        <w:gridCol w:w="900"/>
        <w:gridCol w:w="915"/>
        <w:gridCol w:w="1035"/>
        <w:gridCol w:w="975"/>
        <w:gridCol w:w="975"/>
        <w:gridCol w:w="960"/>
        <w:gridCol w:w="975"/>
        <w:gridCol w:w="975"/>
        <w:gridCol w:w="975"/>
        <w:gridCol w:w="1099"/>
      </w:tblGrid>
      <w:tr>
        <w:tc>
          <w:tcPr>
            <w:tcW w:type="dxa" w:w="450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4010000">
            <w:pPr>
              <w:widowControl w:val="0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4"/>
              </w:rPr>
              <w:t>п</w:t>
            </w:r>
            <w:r>
              <w:rPr>
                <w:rStyle w:val="Style_3_ch"/>
                <w:rFonts w:ascii="Times New Roman" w:hAnsi="Times New Roman"/>
                <w:sz w:val="24"/>
              </w:rPr>
              <w:t>/</w:t>
            </w:r>
            <w:r>
              <w:rPr>
                <w:rStyle w:val="Style_3_ch"/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2160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</w:t>
            </w:r>
          </w:p>
          <w:p w14:paraId="7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type="dxa" w:w="1080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Единица измере</w:t>
            </w:r>
          </w:p>
          <w:p w14:paraId="7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1539"/>
            <w:gridSpan w:val="1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160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080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14:paraId="7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14:paraId="7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2023</w:t>
            </w:r>
          </w:p>
          <w:p w14:paraId="8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2024</w:t>
            </w:r>
          </w:p>
          <w:p w14:paraId="8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14:paraId="8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14:paraId="8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14:paraId="8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2028</w:t>
            </w:r>
          </w:p>
          <w:p w14:paraId="8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8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c>
          <w:tcPr>
            <w:tcW w:type="dxa" w:w="15229"/>
            <w:gridSpan w:val="15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1.Муниципальная программа Покровского сельского поселения</w:t>
            </w:r>
          </w:p>
          <w:p w14:paraId="9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«Развитие молодежной политики в Покровском сельском поселении»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Охват молодежи, получающей социальные услуги в рамках реализации молодежных программ  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1050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1100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1150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1250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1300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Доля молодежи, вовлеченной в деятельность детских и молодежных общественных объединений, от общего числа молодежи 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процент 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43,0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47,0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51,0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79,0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83,0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Доля молодежи, вовлеченная в волонтерскую (добровольческую) деятельность, от общего числа молодежи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3,7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5,7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7,7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9,7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15,7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25,7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Доля молодых людей, участвующих в программах и проектах в сфере поддержки талантливой молодежи, от общего числа молодежи 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41,0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59,0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62,0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65,0</w:t>
            </w:r>
          </w:p>
        </w:tc>
      </w:tr>
      <w:tr>
        <w:tc>
          <w:tcPr>
            <w:tcW w:type="dxa" w:w="15229"/>
            <w:gridSpan w:val="15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E010000">
            <w:pPr>
              <w:widowControl w:val="0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4"/>
              </w:rPr>
              <w:t>2.</w:t>
            </w:r>
            <w:r>
              <w:rPr>
                <w:rStyle w:val="Style_3_ch"/>
                <w:rFonts w:ascii="Times New Roman" w:hAnsi="Times New Roman"/>
                <w:sz w:val="24"/>
              </w:rPr>
              <w:t>Подпрограмма  «</w:t>
            </w:r>
            <w:r>
              <w:rPr>
                <w:rStyle w:val="Style_3_ch"/>
                <w:rFonts w:ascii="Times New Roman" w:hAnsi="Times New Roman"/>
                <w:sz w:val="24"/>
              </w:rPr>
              <w:t>Развитие молодежной политики</w:t>
            </w:r>
            <w:r>
              <w:rPr>
                <w:rStyle w:val="Style_3_ch"/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Охват молодежи, получающей социальные услуги в рамках реализации молодежных программ  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1050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1100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1150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1250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1300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Доля молодежи, вовлеченной в деятельность детских и молодежных общественных объединений, от общего числа молодежи 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процент 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43,0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47,0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51,0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79,0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83,0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Доля молодежи, вовлеченная в волонтерскую (добровольческую) деятельность, от общего числа молодежи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3,7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5,7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7,7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9,7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15,7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25,7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Доля молодых людей, участвующих в программах и проектах в сфере поддержки талантливой молодежи, от общего числа молодежи 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0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2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41,0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59,0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62,0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65,0</w:t>
            </w:r>
          </w:p>
        </w:tc>
      </w:tr>
    </w:tbl>
    <w:p w14:paraId="0B020000">
      <w:pPr>
        <w:sectPr>
          <w:pgSz w:h="11906" w:orient="landscape" w:w="16838"/>
          <w:pgMar w:bottom="1134" w:footer="708" w:header="708" w:left="1134" w:right="1134" w:top="1134"/>
          <w:pgNumType w:fmt="decimal"/>
        </w:sectPr>
      </w:pPr>
    </w:p>
    <w:p w14:paraId="0C020000">
      <w:pPr>
        <w:pStyle w:val="Style_2"/>
        <w:pageBreakBefore w:val="1"/>
        <w:ind/>
        <w:jc w:val="right"/>
      </w:pPr>
      <w:r>
        <w:rPr>
          <w:sz w:val="24"/>
        </w:rPr>
        <w:t>Приложение 2</w:t>
      </w:r>
    </w:p>
    <w:p w14:paraId="0D020000">
      <w:pPr>
        <w:widowControl w:val="0"/>
        <w:ind/>
        <w:jc w:val="center"/>
      </w:pPr>
      <w:r>
        <w:rPr>
          <w:rFonts w:ascii="Times New Roman" w:hAnsi="Times New Roman"/>
          <w:b w:val="1"/>
          <w:sz w:val="24"/>
        </w:rPr>
        <w:t>ПОДПРОГРАММА, МЕРОПРИЯТИЯ ПОДПРОГРАММЫ НА 2024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ГОД</w:t>
      </w:r>
    </w:p>
    <w:p w14:paraId="0E020000">
      <w:pPr>
        <w:widowControl w:val="0"/>
        <w:ind w:firstLine="540" w:left="0" w:right="0"/>
        <w:jc w:val="both"/>
        <w:rPr>
          <w:rFonts w:ascii="Times New Roman" w:hAnsi="Times New Roman"/>
          <w:sz w:val="24"/>
        </w:rPr>
      </w:pPr>
    </w:p>
    <w:tbl>
      <w:tblPr>
        <w:tblStyle w:val="Style_4"/>
        <w:tblInd w:type="dxa" w:w="-109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95"/>
        <w:gridCol w:w="3240"/>
        <w:gridCol w:w="1770"/>
        <w:gridCol w:w="1260"/>
        <w:gridCol w:w="1350"/>
        <w:gridCol w:w="3570"/>
        <w:gridCol w:w="3735"/>
        <w:gridCol w:w="305"/>
      </w:tblGrid>
      <w:tr>
        <w:tc>
          <w:tcPr>
            <w:tcW w:type="dxa" w:w="4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20000">
            <w:pPr>
              <w:pStyle w:val="Style_2"/>
              <w:ind/>
              <w:jc w:val="center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2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 подпрограммы,</w:t>
            </w:r>
          </w:p>
          <w:p w14:paraId="1102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7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ответственный за исполнение  мероприятия, соисполнитель</w:t>
            </w:r>
          </w:p>
        </w:tc>
        <w:tc>
          <w:tcPr>
            <w:tcW w:type="dxa" w:w="261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20000">
            <w:pPr>
              <w:pStyle w:val="Style_2"/>
              <w:ind/>
              <w:jc w:val="center"/>
            </w:pPr>
            <w:r>
              <w:rPr>
                <w:sz w:val="24"/>
              </w:rPr>
              <w:t>Срок</w:t>
            </w:r>
          </w:p>
        </w:tc>
        <w:tc>
          <w:tcPr>
            <w:tcW w:type="dxa" w:w="35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3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не реализации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мероприятия</w:t>
            </w:r>
          </w:p>
        </w:tc>
        <w:tc>
          <w:tcPr>
            <w:tcW w:type="dxa" w:w="3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2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2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начала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5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20000">
            <w:pPr>
              <w:pStyle w:val="Style_2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20000">
            <w:pPr>
              <w:pStyle w:val="Style_2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20000">
            <w:pPr>
              <w:pStyle w:val="Style_2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20000">
            <w:pPr>
              <w:pStyle w:val="Style_2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3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20000">
            <w:pPr>
              <w:pStyle w:val="Style_2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3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20000">
            <w:pPr>
              <w:pStyle w:val="Style_2"/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3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20000">
            <w:pPr>
              <w:pStyle w:val="Style_2"/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3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20000">
            <w:pPr>
              <w:pStyle w:val="Style_2"/>
              <w:rPr>
                <w:sz w:val="24"/>
              </w:rPr>
            </w:pPr>
          </w:p>
        </w:tc>
        <w:tc>
          <w:tcPr>
            <w:tcW w:type="dxa" w:w="15230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Подпрограмма  </w:t>
            </w:r>
            <w:r>
              <w:rPr>
                <w:b w:val="0"/>
                <w:sz w:val="24"/>
              </w:rPr>
              <w:t>«Развитие молодежной политики»</w:t>
            </w:r>
          </w:p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20000">
            <w:pPr>
              <w:pStyle w:val="Style_2"/>
              <w:rPr>
                <w:sz w:val="24"/>
              </w:rPr>
            </w:pPr>
          </w:p>
        </w:tc>
        <w:tc>
          <w:tcPr>
            <w:tcW w:type="dxa" w:w="15230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Цель подпрограммы  -  Создание условий для успешной социализации и эффективной  самореализации молодежи, развитие потенциала молодежи и его  использование в интересах поселения и района в целом. </w:t>
            </w:r>
          </w:p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20000">
            <w:pPr>
              <w:pStyle w:val="Style_2"/>
              <w:rPr>
                <w:sz w:val="24"/>
              </w:rPr>
            </w:pPr>
          </w:p>
        </w:tc>
        <w:tc>
          <w:tcPr>
            <w:tcW w:type="dxa" w:w="15230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20000">
            <w:pPr>
              <w:pStyle w:val="Style_2"/>
              <w:ind/>
              <w:jc w:val="center"/>
            </w:pPr>
            <w:r>
              <w:rPr>
                <w:rStyle w:val="Style_3_ch"/>
                <w:sz w:val="24"/>
              </w:rPr>
              <w:t>Задача  1. Обеспечение межведомственной координации в вопросах развития молодежной самоорганизации, инновационной и творческой  деятельности,  профилактики асоциальных явлений в молодежной среде, пропаганды здорового образа жизни, патриотического воспитания и формирования семейных ценностей</w:t>
            </w:r>
          </w:p>
          <w:p w14:paraId="26020000">
            <w:pPr>
              <w:pStyle w:val="Style_2"/>
              <w:ind/>
              <w:jc w:val="center"/>
            </w:pPr>
            <w:r>
              <w:rPr>
                <w:rStyle w:val="Style_3_ch"/>
                <w:sz w:val="24"/>
              </w:rPr>
              <w:t xml:space="preserve">Задача  2. Развитие межпоселенческого сотрудничества молодежи </w:t>
            </w:r>
          </w:p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20000">
            <w:pPr>
              <w:pStyle w:val="Style_2"/>
              <w:ind/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20000">
            <w:pPr>
              <w:pStyle w:val="Style_2"/>
              <w:ind/>
              <w:jc w:val="center"/>
            </w:pPr>
            <w:r>
              <w:rPr>
                <w:sz w:val="24"/>
              </w:rPr>
              <w:t>Мероприятие 1.1</w:t>
            </w:r>
          </w:p>
          <w:p w14:paraId="29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Обеспечение и проведение акции - «Зеленая среда»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20000">
            <w:pPr>
              <w:pStyle w:val="Style_2"/>
              <w:ind/>
              <w:jc w:val="center"/>
            </w:pPr>
            <w:r>
              <w:rPr>
                <w:sz w:val="24"/>
              </w:rPr>
              <w:t>06.05.2024</w:t>
            </w:r>
          </w:p>
          <w:p w14:paraId="2C020000">
            <w:pPr>
              <w:pStyle w:val="Style_2"/>
              <w:ind/>
              <w:jc w:val="center"/>
            </w:pPr>
            <w:r>
              <w:rPr>
                <w:sz w:val="24"/>
              </w:rPr>
              <w:t>26.08.2024</w:t>
            </w:r>
          </w:p>
          <w:p w14:paraId="2D02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3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20000">
            <w:pPr>
              <w:pStyle w:val="Style_2"/>
              <w:ind/>
              <w:jc w:val="center"/>
            </w:pPr>
            <w:r>
              <w:rPr>
                <w:sz w:val="24"/>
              </w:rPr>
              <w:t>06.05.2024</w:t>
            </w:r>
          </w:p>
          <w:p w14:paraId="2F020000">
            <w:pPr>
              <w:pStyle w:val="Style_2"/>
              <w:ind/>
              <w:jc w:val="center"/>
            </w:pPr>
            <w:r>
              <w:rPr>
                <w:sz w:val="24"/>
              </w:rPr>
              <w:t>26.08.2024</w:t>
            </w:r>
          </w:p>
          <w:p w14:paraId="3002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3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20000">
            <w:pPr>
              <w:ind/>
              <w:jc w:val="center"/>
            </w:pP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>Обеспечение и проведение акции - «Зеленая среда»</w:t>
            </w:r>
          </w:p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20000">
            <w:pPr>
              <w:ind/>
              <w:jc w:val="center"/>
            </w:pP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>Привлечение молодого поколения к бережному отношению к природе</w:t>
            </w:r>
          </w:p>
        </w:tc>
        <w:tc>
          <w:tcPr>
            <w:tcW w:type="dxa" w:w="3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20000">
            <w:pPr>
              <w:ind/>
              <w:jc w:val="center"/>
            </w:pP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>Обеспечение и проведение акции - «Зеленая среда»</w:t>
            </w:r>
          </w:p>
          <w:p w14:paraId="3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6020000">
            <w:pPr>
              <w:ind/>
              <w:jc w:val="center"/>
            </w:pP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>Привлечение молодого поколения к бережному отношению к природе</w:t>
            </w:r>
          </w:p>
        </w:tc>
        <w:tc>
          <w:tcPr>
            <w:tcW w:type="dxa" w:w="30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20000">
            <w:pPr>
              <w:pStyle w:val="Style_2"/>
              <w:ind/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20000">
            <w:pPr>
              <w:pStyle w:val="Style_2"/>
              <w:ind/>
              <w:jc w:val="center"/>
            </w:pPr>
            <w:r>
              <w:rPr>
                <w:sz w:val="24"/>
              </w:rPr>
              <w:t>Мероприятие 1.2</w:t>
            </w:r>
          </w:p>
          <w:p w14:paraId="3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Участие в реализации  районных мероприятий по гражданско-патриотическому воспитанию</w:t>
            </w:r>
          </w:p>
          <w:p w14:paraId="3B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возложение цветов)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20000">
            <w:pPr>
              <w:pStyle w:val="Style_2"/>
              <w:ind/>
              <w:jc w:val="center"/>
            </w:pPr>
            <w:r>
              <w:rPr>
                <w:sz w:val="24"/>
              </w:rPr>
              <w:t>22.02.2024</w:t>
            </w:r>
          </w:p>
          <w:p w14:paraId="3E020000">
            <w:pPr>
              <w:pStyle w:val="Style_2"/>
              <w:ind/>
              <w:jc w:val="center"/>
            </w:pPr>
            <w:r>
              <w:rPr>
                <w:sz w:val="24"/>
              </w:rPr>
              <w:t>09.05.2024</w:t>
            </w:r>
          </w:p>
          <w:p w14:paraId="3F020000">
            <w:pPr>
              <w:pStyle w:val="Style_2"/>
              <w:ind/>
              <w:jc w:val="center"/>
            </w:pPr>
            <w:r>
              <w:rPr>
                <w:sz w:val="24"/>
              </w:rPr>
              <w:t>21.06.2024</w:t>
            </w:r>
          </w:p>
          <w:p w14:paraId="40020000">
            <w:pPr>
              <w:pStyle w:val="Style_2"/>
              <w:ind/>
              <w:jc w:val="center"/>
            </w:pPr>
            <w:r>
              <w:rPr>
                <w:sz w:val="24"/>
              </w:rPr>
              <w:t>30.08.2024</w:t>
            </w:r>
          </w:p>
        </w:tc>
        <w:tc>
          <w:tcPr>
            <w:tcW w:type="dxa" w:w="13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20000">
            <w:pPr>
              <w:pStyle w:val="Style_2"/>
              <w:ind/>
              <w:jc w:val="center"/>
            </w:pPr>
            <w:r>
              <w:rPr>
                <w:sz w:val="24"/>
              </w:rPr>
              <w:t>22.02.2024</w:t>
            </w:r>
          </w:p>
          <w:p w14:paraId="42020000">
            <w:pPr>
              <w:pStyle w:val="Style_2"/>
              <w:ind/>
              <w:jc w:val="center"/>
            </w:pPr>
            <w:r>
              <w:rPr>
                <w:sz w:val="24"/>
              </w:rPr>
              <w:t>09.05.2024</w:t>
            </w:r>
          </w:p>
          <w:p w14:paraId="43020000">
            <w:pPr>
              <w:pStyle w:val="Style_2"/>
              <w:ind/>
              <w:jc w:val="center"/>
            </w:pPr>
            <w:r>
              <w:rPr>
                <w:sz w:val="24"/>
              </w:rPr>
              <w:t>21.06.2024</w:t>
            </w:r>
          </w:p>
          <w:p w14:paraId="44020000">
            <w:pPr>
              <w:pStyle w:val="Style_2"/>
              <w:ind/>
              <w:jc w:val="center"/>
            </w:pPr>
            <w:r>
              <w:rPr>
                <w:sz w:val="24"/>
              </w:rPr>
              <w:t>30.08.2024</w:t>
            </w:r>
          </w:p>
        </w:tc>
        <w:tc>
          <w:tcPr>
            <w:tcW w:type="dxa" w:w="3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20000">
            <w:pPr>
              <w:pStyle w:val="Style_2"/>
              <w:ind/>
              <w:jc w:val="center"/>
            </w:pPr>
            <w:r>
              <w:rPr>
                <w:rStyle w:val="Style_3_ch"/>
                <w:color w:val="000000"/>
                <w:sz w:val="24"/>
              </w:rPr>
              <w:t>Участие молодежи в памятных мероприятиях</w:t>
            </w:r>
          </w:p>
          <w:p w14:paraId="46020000">
            <w:pPr>
              <w:pStyle w:val="Style_2"/>
              <w:ind/>
              <w:jc w:val="center"/>
            </w:pPr>
            <w:r>
              <w:rPr>
                <w:rStyle w:val="Style_3_ch"/>
                <w:color w:val="000000"/>
                <w:sz w:val="24"/>
              </w:rPr>
              <w:t xml:space="preserve"> </w:t>
            </w:r>
            <w:r>
              <w:rPr>
                <w:rStyle w:val="Style_3_ch"/>
                <w:color w:val="000000"/>
                <w:sz w:val="24"/>
              </w:rPr>
              <w:t>(в возложении цветов)</w:t>
            </w:r>
          </w:p>
          <w:p w14:paraId="47020000">
            <w:pPr>
              <w:pStyle w:val="Style_2"/>
              <w:ind/>
              <w:jc w:val="center"/>
            </w:pPr>
            <w:r>
              <w:rPr>
                <w:rStyle w:val="Style_3_ch"/>
                <w:color w:val="000000"/>
                <w:sz w:val="24"/>
              </w:rPr>
              <w:t xml:space="preserve"> </w:t>
            </w:r>
            <w:r>
              <w:rPr>
                <w:rStyle w:val="Style_3_ch"/>
                <w:color w:val="000000"/>
                <w:sz w:val="24"/>
              </w:rPr>
              <w:t xml:space="preserve">на День защитника Отечества, День Победы, День памяти и скорби, </w:t>
            </w:r>
            <w:r>
              <w:rPr>
                <w:rStyle w:val="Style_3_ch"/>
                <w:color w:val="000000"/>
                <w:sz w:val="24"/>
              </w:rPr>
              <w:t>День освобождения Неклиновского района от немецко-фашистских захватчиков</w:t>
            </w:r>
          </w:p>
        </w:tc>
        <w:tc>
          <w:tcPr>
            <w:tcW w:type="dxa" w:w="3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20000">
            <w:pPr>
              <w:pStyle w:val="Style_2"/>
              <w:ind/>
              <w:jc w:val="center"/>
            </w:pPr>
            <w:r>
              <w:rPr>
                <w:rStyle w:val="Style_3_ch"/>
                <w:color w:val="000000"/>
                <w:sz w:val="24"/>
              </w:rPr>
              <w:t>Участие молодежи в памятных мероприятиях (в возложении цветов)</w:t>
            </w:r>
          </w:p>
          <w:p w14:paraId="49020000">
            <w:pPr>
              <w:pStyle w:val="Style_2"/>
              <w:ind/>
              <w:jc w:val="center"/>
            </w:pPr>
            <w:r>
              <w:rPr>
                <w:rStyle w:val="Style_3_ch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i w:val="0"/>
                <w:color w:val="000000"/>
                <w:sz w:val="24"/>
              </w:rPr>
              <w:t xml:space="preserve">на День защитника Отечества, День Победы, День памяти и скорби, </w:t>
            </w:r>
            <w:r>
              <w:rPr>
                <w:rStyle w:val="Style_3_ch"/>
                <w:i w:val="0"/>
                <w:color w:val="000000"/>
                <w:sz w:val="24"/>
              </w:rPr>
              <w:t>День освобождения Неклиновского района от немецко-фашистских захватчиков</w:t>
            </w:r>
          </w:p>
        </w:tc>
        <w:tc>
          <w:tcPr>
            <w:tcW w:type="dxa" w:w="3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20000">
            <w:pPr>
              <w:pStyle w:val="Style_2"/>
              <w:ind/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20000">
            <w:pPr>
              <w:pStyle w:val="Style_2"/>
              <w:ind/>
              <w:jc w:val="center"/>
            </w:pPr>
            <w:r>
              <w:rPr>
                <w:sz w:val="24"/>
              </w:rPr>
              <w:t>Мероприятие 1.3</w:t>
            </w:r>
          </w:p>
          <w:p w14:paraId="4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Участие в реализации  </w:t>
            </w:r>
            <w:r>
              <w:rPr>
                <w:rFonts w:ascii="Times New Roman" w:hAnsi="Times New Roman"/>
                <w:sz w:val="24"/>
              </w:rPr>
              <w:t>общероссийской антинаркотической акции - «Сообщи, где торгуют смертью»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20000">
            <w:pPr>
              <w:pStyle w:val="Style_2"/>
              <w:ind/>
              <w:jc w:val="center"/>
            </w:pPr>
            <w:r>
              <w:rPr>
                <w:sz w:val="24"/>
              </w:rPr>
              <w:t>15.03.2024</w:t>
            </w:r>
          </w:p>
          <w:p w14:paraId="4F020000">
            <w:pPr>
              <w:pStyle w:val="Style_2"/>
              <w:ind/>
              <w:jc w:val="center"/>
            </w:pPr>
            <w:r>
              <w:rPr>
                <w:sz w:val="24"/>
              </w:rPr>
              <w:t>15.11.2024</w:t>
            </w:r>
          </w:p>
        </w:tc>
        <w:tc>
          <w:tcPr>
            <w:tcW w:type="dxa" w:w="13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20000">
            <w:pPr>
              <w:pStyle w:val="Style_2"/>
              <w:ind/>
              <w:jc w:val="center"/>
            </w:pPr>
            <w:r>
              <w:rPr>
                <w:sz w:val="24"/>
              </w:rPr>
              <w:t>29.03.2024</w:t>
            </w:r>
          </w:p>
          <w:p w14:paraId="51020000">
            <w:pPr>
              <w:pStyle w:val="Style_2"/>
              <w:ind/>
              <w:jc w:val="center"/>
            </w:pPr>
            <w:r>
              <w:rPr>
                <w:sz w:val="24"/>
              </w:rPr>
              <w:t>29.11.2024</w:t>
            </w:r>
          </w:p>
        </w:tc>
        <w:tc>
          <w:tcPr>
            <w:tcW w:type="dxa" w:w="3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20000">
            <w:pPr>
              <w:ind/>
              <w:jc w:val="center"/>
            </w:pP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 xml:space="preserve">Участие в реализации  </w:t>
            </w: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>общероссийской антинаркотической акции - «Сообщи, где торгуют смертью»</w:t>
            </w:r>
          </w:p>
          <w:p w14:paraId="5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4020000">
            <w:pPr>
              <w:pStyle w:val="Style_2"/>
              <w:ind/>
              <w:jc w:val="center"/>
            </w:pPr>
            <w:r>
              <w:rPr>
                <w:rStyle w:val="Style_8_ch"/>
                <w:i w:val="0"/>
                <w:color w:val="000000"/>
                <w:sz w:val="24"/>
              </w:rPr>
              <w:t>Привлечение молодого поколения к здоровому образу жизни</w:t>
            </w:r>
          </w:p>
        </w:tc>
        <w:tc>
          <w:tcPr>
            <w:tcW w:type="dxa" w:w="3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20000">
            <w:pPr>
              <w:ind/>
              <w:jc w:val="center"/>
            </w:pP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 xml:space="preserve">Участие в реализации  </w:t>
            </w: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>общероссийской антинаркотической акции - «Сообщи, где торгуют смертью»</w:t>
            </w:r>
          </w:p>
          <w:p w14:paraId="5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20000">
            <w:pPr>
              <w:pStyle w:val="Style_2"/>
              <w:ind/>
              <w:jc w:val="center"/>
            </w:pPr>
            <w:r>
              <w:rPr>
                <w:rStyle w:val="Style_8_ch"/>
                <w:i w:val="0"/>
                <w:color w:val="000000"/>
                <w:sz w:val="24"/>
              </w:rPr>
              <w:t>Привлечение молодого поколения к здоровому образу жизни</w:t>
            </w:r>
          </w:p>
        </w:tc>
        <w:tc>
          <w:tcPr>
            <w:tcW w:type="dxa" w:w="3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20000">
            <w:pPr>
              <w:pStyle w:val="Style_2"/>
              <w:rPr>
                <w:sz w:val="24"/>
              </w:rPr>
            </w:pPr>
          </w:p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20000">
            <w:pPr>
              <w:pStyle w:val="Style_2"/>
              <w:ind/>
              <w:jc w:val="center"/>
            </w:pPr>
            <w:r>
              <w:rPr>
                <w:sz w:val="24"/>
              </w:rPr>
              <w:t>1.4</w:t>
            </w:r>
          </w:p>
        </w:tc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наградной атрибутики</w:t>
            </w:r>
          </w:p>
          <w:p w14:paraId="5B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(грамоты, благодарственные письма и др)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20000">
            <w:pPr>
              <w:pStyle w:val="Style_2"/>
              <w:ind/>
              <w:jc w:val="center"/>
            </w:pPr>
            <w:r>
              <w:rPr>
                <w:sz w:val="24"/>
              </w:rPr>
              <w:t>09.01.2024</w:t>
            </w:r>
          </w:p>
        </w:tc>
        <w:tc>
          <w:tcPr>
            <w:tcW w:type="dxa" w:w="13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27.12.2024</w:t>
            </w:r>
          </w:p>
        </w:tc>
        <w:tc>
          <w:tcPr>
            <w:tcW w:type="dxa" w:w="3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наградной атрибутики (грамоты, благодарственные письма и др)</w:t>
            </w:r>
          </w:p>
        </w:tc>
        <w:tc>
          <w:tcPr>
            <w:tcW w:type="dxa" w:w="3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наградной атрибутики</w:t>
            </w:r>
          </w:p>
          <w:p w14:paraId="61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(грамоты, благодарственные письма и др)</w:t>
            </w:r>
          </w:p>
        </w:tc>
        <w:tc>
          <w:tcPr>
            <w:tcW w:type="dxa" w:w="3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20000">
            <w:pPr>
              <w:pStyle w:val="Style_2"/>
              <w:rPr>
                <w:sz w:val="24"/>
              </w:rPr>
            </w:pPr>
          </w:p>
        </w:tc>
      </w:tr>
    </w:tbl>
    <w:p w14:paraId="63020000">
      <w:pPr>
        <w:pStyle w:val="Style_2"/>
        <w:ind/>
        <w:jc w:val="right"/>
        <w:rPr>
          <w:sz w:val="24"/>
        </w:rPr>
      </w:pPr>
    </w:p>
    <w:p w14:paraId="64020000">
      <w:pPr>
        <w:pStyle w:val="Style_2"/>
        <w:ind/>
        <w:jc w:val="right"/>
        <w:rPr>
          <w:sz w:val="24"/>
        </w:rPr>
      </w:pPr>
    </w:p>
    <w:p w14:paraId="65020000">
      <w:pPr>
        <w:pStyle w:val="Style_2"/>
        <w:ind/>
        <w:jc w:val="right"/>
        <w:rPr>
          <w:sz w:val="24"/>
        </w:rPr>
      </w:pPr>
    </w:p>
    <w:p w14:paraId="66020000">
      <w:pPr>
        <w:pStyle w:val="Style_2"/>
        <w:ind/>
        <w:jc w:val="right"/>
        <w:rPr>
          <w:sz w:val="24"/>
        </w:rPr>
      </w:pPr>
    </w:p>
    <w:p w14:paraId="67020000">
      <w:pPr>
        <w:pStyle w:val="Style_2"/>
        <w:ind/>
        <w:jc w:val="right"/>
        <w:rPr>
          <w:sz w:val="24"/>
        </w:rPr>
      </w:pPr>
    </w:p>
    <w:p w14:paraId="68020000">
      <w:pPr>
        <w:pStyle w:val="Style_2"/>
        <w:ind/>
        <w:jc w:val="right"/>
        <w:rPr>
          <w:sz w:val="24"/>
        </w:rPr>
      </w:pPr>
    </w:p>
    <w:p w14:paraId="69020000">
      <w:pPr>
        <w:pStyle w:val="Style_2"/>
        <w:ind/>
        <w:jc w:val="right"/>
        <w:rPr>
          <w:sz w:val="24"/>
        </w:rPr>
      </w:pPr>
    </w:p>
    <w:p w14:paraId="6A020000">
      <w:pPr>
        <w:pStyle w:val="Style_2"/>
        <w:ind/>
        <w:jc w:val="right"/>
        <w:rPr>
          <w:sz w:val="24"/>
        </w:rPr>
      </w:pPr>
    </w:p>
    <w:p w14:paraId="6B020000">
      <w:pPr>
        <w:pStyle w:val="Style_2"/>
        <w:ind/>
        <w:jc w:val="right"/>
        <w:rPr>
          <w:sz w:val="24"/>
        </w:rPr>
      </w:pPr>
    </w:p>
    <w:p w14:paraId="6C020000">
      <w:pPr>
        <w:pStyle w:val="Style_2"/>
        <w:ind/>
        <w:jc w:val="right"/>
        <w:rPr>
          <w:sz w:val="24"/>
        </w:rPr>
      </w:pPr>
    </w:p>
    <w:p w14:paraId="6D020000">
      <w:pPr>
        <w:pStyle w:val="Style_2"/>
        <w:ind/>
        <w:jc w:val="right"/>
        <w:rPr>
          <w:sz w:val="24"/>
        </w:rPr>
      </w:pPr>
    </w:p>
    <w:p w14:paraId="6E020000">
      <w:pPr>
        <w:pStyle w:val="Style_2"/>
        <w:ind/>
        <w:jc w:val="right"/>
        <w:rPr>
          <w:sz w:val="24"/>
        </w:rPr>
      </w:pPr>
    </w:p>
    <w:p w14:paraId="6F020000">
      <w:pPr>
        <w:pStyle w:val="Style_2"/>
        <w:ind/>
        <w:jc w:val="right"/>
        <w:rPr>
          <w:sz w:val="24"/>
        </w:rPr>
      </w:pPr>
    </w:p>
    <w:p w14:paraId="70020000">
      <w:pPr>
        <w:pStyle w:val="Style_2"/>
        <w:ind/>
        <w:jc w:val="right"/>
        <w:rPr>
          <w:sz w:val="24"/>
        </w:rPr>
      </w:pPr>
    </w:p>
    <w:p w14:paraId="71020000">
      <w:pPr>
        <w:pStyle w:val="Style_2"/>
        <w:ind/>
        <w:jc w:val="right"/>
        <w:rPr>
          <w:sz w:val="24"/>
        </w:rPr>
      </w:pPr>
    </w:p>
    <w:p w14:paraId="72020000">
      <w:pPr>
        <w:pStyle w:val="Style_2"/>
        <w:ind/>
        <w:jc w:val="right"/>
        <w:rPr>
          <w:sz w:val="24"/>
        </w:rPr>
      </w:pPr>
    </w:p>
    <w:p w14:paraId="73020000">
      <w:pPr>
        <w:pStyle w:val="Style_2"/>
        <w:ind/>
        <w:jc w:val="right"/>
        <w:rPr>
          <w:sz w:val="24"/>
        </w:rPr>
      </w:pPr>
    </w:p>
    <w:p w14:paraId="74020000">
      <w:pPr>
        <w:pStyle w:val="Style_2"/>
        <w:ind/>
        <w:jc w:val="right"/>
        <w:rPr>
          <w:sz w:val="24"/>
        </w:rPr>
      </w:pPr>
    </w:p>
    <w:p w14:paraId="75020000">
      <w:pPr>
        <w:pStyle w:val="Style_2"/>
        <w:ind/>
        <w:jc w:val="right"/>
        <w:rPr>
          <w:sz w:val="24"/>
        </w:rPr>
      </w:pPr>
    </w:p>
    <w:p w14:paraId="76020000">
      <w:pPr>
        <w:pStyle w:val="Style_2"/>
        <w:ind/>
        <w:jc w:val="right"/>
        <w:rPr>
          <w:sz w:val="24"/>
        </w:rPr>
      </w:pPr>
    </w:p>
    <w:p w14:paraId="77020000">
      <w:pPr>
        <w:pStyle w:val="Style_2"/>
        <w:ind/>
        <w:jc w:val="right"/>
        <w:rPr>
          <w:sz w:val="24"/>
        </w:rPr>
      </w:pPr>
    </w:p>
    <w:p w14:paraId="78020000">
      <w:pPr>
        <w:pStyle w:val="Style_2"/>
        <w:ind/>
        <w:jc w:val="right"/>
        <w:rPr>
          <w:sz w:val="24"/>
        </w:rPr>
      </w:pPr>
    </w:p>
    <w:p w14:paraId="79020000">
      <w:pPr>
        <w:pStyle w:val="Style_2"/>
        <w:ind/>
        <w:jc w:val="right"/>
        <w:rPr>
          <w:sz w:val="24"/>
        </w:rPr>
      </w:pPr>
    </w:p>
    <w:p w14:paraId="7A020000">
      <w:pPr>
        <w:pStyle w:val="Style_2"/>
        <w:ind/>
        <w:jc w:val="right"/>
        <w:rPr>
          <w:sz w:val="24"/>
        </w:rPr>
      </w:pPr>
    </w:p>
    <w:p w14:paraId="7B020000">
      <w:pPr>
        <w:pStyle w:val="Style_2"/>
        <w:ind/>
        <w:jc w:val="right"/>
        <w:rPr>
          <w:sz w:val="24"/>
        </w:rPr>
      </w:pPr>
    </w:p>
    <w:p w14:paraId="7C020000">
      <w:pPr>
        <w:pStyle w:val="Style_2"/>
        <w:ind/>
        <w:jc w:val="right"/>
        <w:rPr>
          <w:sz w:val="24"/>
        </w:rPr>
      </w:pPr>
    </w:p>
    <w:p w14:paraId="7D020000">
      <w:pPr>
        <w:pStyle w:val="Style_2"/>
        <w:ind/>
        <w:jc w:val="right"/>
        <w:rPr>
          <w:sz w:val="24"/>
        </w:rPr>
      </w:pPr>
    </w:p>
    <w:p w14:paraId="7E020000">
      <w:pPr>
        <w:pStyle w:val="Style_2"/>
        <w:ind/>
        <w:jc w:val="right"/>
        <w:rPr>
          <w:sz w:val="24"/>
        </w:rPr>
      </w:pPr>
    </w:p>
    <w:p w14:paraId="7F020000">
      <w:pPr>
        <w:pStyle w:val="Style_2"/>
        <w:ind/>
        <w:jc w:val="right"/>
        <w:rPr>
          <w:sz w:val="24"/>
        </w:rPr>
      </w:pPr>
    </w:p>
    <w:p w14:paraId="80020000">
      <w:pPr>
        <w:pStyle w:val="Style_2"/>
        <w:ind/>
        <w:jc w:val="right"/>
        <w:rPr>
          <w:sz w:val="24"/>
        </w:rPr>
      </w:pPr>
    </w:p>
    <w:p w14:paraId="81020000">
      <w:pPr>
        <w:pStyle w:val="Style_2"/>
        <w:ind/>
        <w:jc w:val="right"/>
      </w:pPr>
      <w:r>
        <w:rPr>
          <w:sz w:val="24"/>
        </w:rPr>
        <w:t>Приложение 3</w:t>
      </w:r>
    </w:p>
    <w:p w14:paraId="82020000">
      <w:pPr>
        <w:pStyle w:val="Style_2"/>
        <w:ind/>
        <w:jc w:val="right"/>
        <w:rPr>
          <w:sz w:val="24"/>
        </w:rPr>
      </w:pPr>
    </w:p>
    <w:p w14:paraId="83020000">
      <w:pPr>
        <w:widowControl w:val="0"/>
        <w:ind/>
        <w:jc w:val="center"/>
      </w:pPr>
      <w:r>
        <w:rPr>
          <w:rFonts w:ascii="Times New Roman" w:hAnsi="Times New Roman"/>
          <w:b w:val="1"/>
          <w:sz w:val="24"/>
        </w:rPr>
        <w:t>РАСХОДЫ БЮДЖЕТА ПОКРОВСКОГО СЕЛЬСКОГО ПОСЕЛЕНИЯ НА РЕАЛИЗАЦИЮ МУНИЦИПАЛЬНОЙ ПРОГРАММЫ</w:t>
      </w:r>
    </w:p>
    <w:p w14:paraId="84020000">
      <w:pPr>
        <w:widowControl w:val="0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4"/>
        <w:tblInd w:type="dxa" w:w="-829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1590"/>
        <w:gridCol w:w="1530"/>
        <w:gridCol w:w="750"/>
        <w:gridCol w:w="735"/>
        <w:gridCol w:w="735"/>
        <w:gridCol w:w="855"/>
        <w:gridCol w:w="1200"/>
        <w:gridCol w:w="735"/>
        <w:gridCol w:w="735"/>
        <w:gridCol w:w="615"/>
        <w:gridCol w:w="600"/>
        <w:gridCol w:w="765"/>
        <w:gridCol w:w="795"/>
        <w:gridCol w:w="795"/>
        <w:gridCol w:w="810"/>
        <w:gridCol w:w="780"/>
        <w:gridCol w:w="840"/>
        <w:gridCol w:w="795"/>
        <w:gridCol w:w="795"/>
      </w:tblGrid>
      <w:tr>
        <w:trPr>
          <w:trHeight w:hRule="atLeast" w:val="720"/>
        </w:trPr>
        <w:tc>
          <w:tcPr>
            <w:tcW w:type="dxa" w:w="1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</w:t>
            </w:r>
          </w:p>
          <w:p w14:paraId="86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подпрограммы, мероприятий</w:t>
            </w:r>
          </w:p>
        </w:tc>
        <w:tc>
          <w:tcPr>
            <w:tcW w:type="dxa" w:w="1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  <w:p w14:paraId="88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исполнитель,</w:t>
            </w:r>
          </w:p>
          <w:p w14:paraId="89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  <w:tc>
          <w:tcPr>
            <w:tcW w:type="dxa" w:w="3075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код бюджетной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классификации расходов</w:t>
            </w:r>
          </w:p>
        </w:tc>
        <w:tc>
          <w:tcPr>
            <w:tcW w:type="dxa" w:w="1200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объем расходов всего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type="dxa" w:w="906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 том числе по годам реализации  муниципальной программы, </w:t>
            </w:r>
          </w:p>
        </w:tc>
      </w:tr>
      <w:tr>
        <w:trPr>
          <w:trHeight w:hRule="atLeast" w:val="1545"/>
        </w:trPr>
        <w:tc>
          <w:tcPr>
            <w:tcW w:type="dxa" w:w="1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РзПр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type="dxa" w:w="120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2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14:paraId="9202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2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14:paraId="9402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2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14:paraId="9602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20000">
            <w:pPr>
              <w:widowControl w:val="0"/>
              <w:ind w:firstLine="0" w:left="0" w:right="-75"/>
              <w:jc w:val="center"/>
            </w:pPr>
            <w:r>
              <w:rPr>
                <w:rFonts w:ascii="Times New Roman" w:hAnsi="Times New Roman"/>
                <w:sz w:val="24"/>
              </w:rPr>
              <w:t>2022   год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20000">
            <w:pPr>
              <w:widowControl w:val="0"/>
              <w:ind w:firstLine="0" w:left="-75" w:right="11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2023   год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20000">
            <w:pPr>
              <w:widowControl w:val="0"/>
              <w:ind w:firstLine="0" w:left="-75" w:right="11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2024      год 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14:paraId="9B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14:paraId="9D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14:paraId="9F020000">
            <w:pPr>
              <w:widowControl w:val="0"/>
              <w:ind w:firstLine="0" w:left="113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2028</w:t>
            </w:r>
          </w:p>
          <w:p w14:paraId="A1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A3020000">
            <w:pPr>
              <w:widowControl w:val="0"/>
              <w:ind w:firstLine="0" w:left="113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2030 год</w:t>
            </w:r>
          </w:p>
        </w:tc>
      </w:tr>
    </w:tbl>
    <w:p w14:paraId="A5020000">
      <w:pPr>
        <w:widowControl w:val="0"/>
        <w:ind w:firstLine="0" w:left="0" w:right="624"/>
        <w:jc w:val="left"/>
        <w:rPr>
          <w:rFonts w:ascii="Times New Roman" w:hAnsi="Times New Roman"/>
          <w:sz w:val="24"/>
        </w:rPr>
      </w:pPr>
    </w:p>
    <w:tbl>
      <w:tblPr>
        <w:tblStyle w:val="Style_4"/>
        <w:tblInd w:type="dxa" w:w="-879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1590"/>
        <w:gridCol w:w="1530"/>
        <w:gridCol w:w="750"/>
        <w:gridCol w:w="735"/>
        <w:gridCol w:w="735"/>
        <w:gridCol w:w="855"/>
        <w:gridCol w:w="1245"/>
        <w:gridCol w:w="735"/>
        <w:gridCol w:w="690"/>
        <w:gridCol w:w="645"/>
        <w:gridCol w:w="600"/>
        <w:gridCol w:w="735"/>
        <w:gridCol w:w="795"/>
        <w:gridCol w:w="855"/>
        <w:gridCol w:w="795"/>
        <w:gridCol w:w="720"/>
        <w:gridCol w:w="915"/>
        <w:gridCol w:w="735"/>
        <w:gridCol w:w="770"/>
      </w:tblGrid>
      <w:tr>
        <w:trPr>
          <w:tblHeader/>
        </w:trPr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6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7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8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9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A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B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C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D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E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F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0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1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2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3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4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5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6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7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8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9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программа   </w:t>
            </w:r>
            <w:r>
              <w:rPr>
                <w:rFonts w:ascii="Times New Roman" w:hAnsi="Times New Roman"/>
                <w:b w:val="0"/>
                <w:sz w:val="24"/>
              </w:rPr>
              <w:t>Развитие молодежной политики</w:t>
            </w:r>
          </w:p>
          <w:p w14:paraId="BA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  Покровском сельском </w:t>
            </w:r>
          </w:p>
          <w:p w14:paraId="BB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поселении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C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BD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поселения/</w:t>
            </w:r>
          </w:p>
          <w:p w14:paraId="BE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жители </w:t>
            </w:r>
          </w:p>
          <w:p w14:paraId="BF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0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1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3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4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5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6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7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8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9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A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B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CC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D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E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F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0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D1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2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502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427,7</w:t>
            </w:r>
          </w:p>
          <w:p w14:paraId="D6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7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8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A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C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E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2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3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4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5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6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7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8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A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C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E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44,1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1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2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45,8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3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4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5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6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7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8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A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C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E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2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3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6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>
        <w:trPr>
          <w:trHeight w:hRule="atLeast" w:val="614"/>
        </w:trPr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7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подпрограмма  </w:t>
            </w:r>
          </w:p>
          <w:p w14:paraId="08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Развитие молодежной политики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9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0A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поселения/</w:t>
            </w:r>
          </w:p>
          <w:p w14:paraId="0B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жители </w:t>
            </w:r>
          </w:p>
          <w:p w14:paraId="0C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</w:t>
            </w:r>
          </w:p>
          <w:p w14:paraId="0D030000">
            <w:pPr>
              <w:widowControl w:val="0"/>
              <w:ind/>
              <w:jc w:val="center"/>
            </w:pP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E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F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0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1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2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4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5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6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7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A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B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C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D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E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F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0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103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427,7</w:t>
            </w:r>
          </w:p>
          <w:p w14:paraId="22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3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6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7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A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6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44,1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45,8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2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3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6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D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F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2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>
        <w:trPr>
          <w:trHeight w:hRule="atLeast" w:val="343"/>
        </w:trPr>
        <w:tc>
          <w:tcPr>
            <w:tcW w:type="dxa" w:w="1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4030000">
            <w:pPr>
              <w:pStyle w:val="Style_2"/>
              <w:ind/>
              <w:jc w:val="center"/>
            </w:pPr>
            <w:r>
              <w:rPr>
                <w:sz w:val="24"/>
              </w:rPr>
              <w:t>мероприятие 1.1</w:t>
            </w:r>
          </w:p>
          <w:p w14:paraId="55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Обеспечение и проведение акции - «Зеленая среда»</w:t>
            </w:r>
          </w:p>
        </w:tc>
        <w:tc>
          <w:tcPr>
            <w:tcW w:type="dxa" w:w="1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6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57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поселения/</w:t>
            </w:r>
          </w:p>
          <w:p w14:paraId="58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жители </w:t>
            </w:r>
          </w:p>
          <w:p w14:paraId="59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</w:t>
            </w:r>
          </w:p>
        </w:tc>
        <w:tc>
          <w:tcPr>
            <w:tcW w:type="dxa" w:w="7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A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B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C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D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E03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5F03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60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0,00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1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4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65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66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7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68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69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  <w:p w14:paraId="6A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B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C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D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E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6F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0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1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2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3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4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5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6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7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8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9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A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B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C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D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F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0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81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82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3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84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85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1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1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7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6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7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8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9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A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B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C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D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E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F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0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1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2030000">
            <w:pPr>
              <w:pStyle w:val="Style_2"/>
              <w:ind/>
              <w:jc w:val="center"/>
            </w:pPr>
            <w:r>
              <w:rPr>
                <w:sz w:val="24"/>
              </w:rPr>
              <w:t>мероприятие 1.2</w:t>
            </w:r>
          </w:p>
          <w:p w14:paraId="93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Участие в реализации  районных мероприятий по гражданско-патриотическому </w:t>
            </w:r>
          </w:p>
          <w:p w14:paraId="9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воспитанию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5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96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поселения/</w:t>
            </w:r>
          </w:p>
          <w:p w14:paraId="97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жители </w:t>
            </w:r>
          </w:p>
          <w:p w14:paraId="98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</w:t>
            </w: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4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1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2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3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4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5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603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150,4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7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A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B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C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D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E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F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5,2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3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6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7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8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11,2</w:t>
            </w: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A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B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D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E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19,7</w:t>
            </w:r>
          </w:p>
          <w:p w14:paraId="CF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2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5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6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7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A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B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22,6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D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E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F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23,5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2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3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6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7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24,4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A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B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D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5,2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E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F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2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3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5,2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6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7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9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5,2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A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B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D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E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F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5,2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0040000">
            <w:pPr>
              <w:pStyle w:val="Style_2"/>
              <w:ind/>
              <w:jc w:val="center"/>
            </w:pPr>
            <w:r>
              <w:rPr>
                <w:sz w:val="24"/>
              </w:rPr>
              <w:t>мероприятие 1.3</w:t>
            </w:r>
          </w:p>
          <w:p w14:paraId="0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Участие в реализации  </w:t>
            </w:r>
            <w:r>
              <w:rPr>
                <w:rFonts w:ascii="Times New Roman" w:hAnsi="Times New Roman"/>
                <w:sz w:val="24"/>
              </w:rPr>
              <w:t>общероссийской антинаркоти</w:t>
            </w:r>
          </w:p>
          <w:p w14:paraId="0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ческой акции - «Сообщи, где торгуют смертью»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3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поселения/</w:t>
            </w:r>
          </w:p>
          <w:p w14:paraId="04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жители Покровского сельского поселения</w:t>
            </w:r>
          </w:p>
          <w:p w14:paraId="0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7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A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B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C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0,00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F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0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1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2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3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4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5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  <w:p w14:paraId="1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7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A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B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C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D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E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F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2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3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4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5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6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7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8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C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D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E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F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30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31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наградной атрибутики</w:t>
            </w:r>
          </w:p>
          <w:p w14:paraId="3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(грамоты, благодарственные письма и др.)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4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  <w:p w14:paraId="3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8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  <w:p w14:paraId="3C040000">
            <w:pPr>
              <w:widowControl w:val="0"/>
              <w:ind/>
              <w:jc w:val="center"/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2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3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4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5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182,3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6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9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C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D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9,8</w:t>
            </w: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F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0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2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4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5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6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21,5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8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A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22,3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B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C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D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23,2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E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0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1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4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5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6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7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8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9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15,8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палаток  (для выездных мероприятий в рамках проведения форумов, акций</w:t>
            </w:r>
          </w:p>
          <w:p w14:paraId="6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др.)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C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  <w:p w14:paraId="6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F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0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3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  <w:p w14:paraId="7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7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B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7C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7D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19,0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E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F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0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1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2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3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4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5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6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7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8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9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A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B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C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D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E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F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0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1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2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3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4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5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6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7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8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9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A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B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C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D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E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F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0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1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палатки - шатра  (для выездных мероприятий в рамках проведения форумов, акций и др.)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3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  <w:p w14:paraId="A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7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8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B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C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F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0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4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5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6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7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8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0,0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9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A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B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C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D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E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F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0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1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3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4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5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6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7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8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C9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A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B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C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D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E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F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0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1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2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5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6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7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8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9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A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B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C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D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E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F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2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3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4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5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E6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7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8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9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A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сумки холодильника, раскладного стола и раскладных стульев  (для выездных мероприятий в рамках проведения форумов, акций и др.)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C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  <w:p w14:paraId="E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F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0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3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6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7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9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A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FB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FC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19,0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D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E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F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0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2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5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8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B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0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1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2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4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7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A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B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D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E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0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1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спальных мешков (для выездных мероприятий в рамках проведения форумов, акций и др.)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2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  <w:p w14:paraId="2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7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4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5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6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7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19,0</w:t>
            </w:r>
          </w:p>
          <w:p w14:paraId="3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3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E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0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2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5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4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B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4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0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2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5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B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C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0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19,0</w:t>
            </w:r>
          </w:p>
          <w:p w14:paraId="6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2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5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9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B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D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походного термоса (для выездных мероприятий в рамках проведения форумов, акций и т.д.)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F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3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7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B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F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0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81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82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83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19,0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7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8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B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C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E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0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9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2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5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9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9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B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E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0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2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A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7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B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A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E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0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2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3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Приобретение садовых инструментов (для реализации  </w:t>
            </w:r>
            <w:r>
              <w:rPr>
                <w:rFonts w:ascii="Times New Roman" w:hAnsi="Times New Roman"/>
                <w:b w:val="0"/>
                <w:sz w:val="24"/>
              </w:rPr>
              <w:t xml:space="preserve">молодежной акции </w:t>
            </w:r>
          </w:p>
          <w:p w14:paraId="B405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«Зеленая среда»)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5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  <w:p w14:paraId="B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9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C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F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3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C4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C5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19,0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8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B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C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E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F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0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2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5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8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B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E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2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4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7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A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EB050000">
      <w:pPr>
        <w:ind/>
        <w:jc w:val="right"/>
        <w:rPr>
          <w:rFonts w:ascii="Times New Roman" w:hAnsi="Times New Roman"/>
          <w:sz w:val="24"/>
        </w:rPr>
      </w:pPr>
    </w:p>
    <w:p w14:paraId="EC050000">
      <w:pPr>
        <w:pStyle w:val="Style_2"/>
        <w:ind/>
        <w:jc w:val="right"/>
        <w:rPr>
          <w:sz w:val="24"/>
        </w:rPr>
      </w:pPr>
    </w:p>
    <w:p w14:paraId="ED050000">
      <w:pPr>
        <w:pStyle w:val="Style_2"/>
        <w:ind/>
        <w:jc w:val="right"/>
        <w:rPr>
          <w:sz w:val="24"/>
        </w:rPr>
      </w:pPr>
    </w:p>
    <w:p w14:paraId="EE050000">
      <w:pPr>
        <w:pStyle w:val="Style_2"/>
        <w:ind/>
        <w:jc w:val="right"/>
        <w:rPr>
          <w:sz w:val="24"/>
        </w:rPr>
      </w:pPr>
    </w:p>
    <w:p w14:paraId="EF050000">
      <w:pPr>
        <w:pStyle w:val="Style_2"/>
        <w:ind/>
        <w:jc w:val="right"/>
        <w:rPr>
          <w:sz w:val="24"/>
        </w:rPr>
      </w:pPr>
    </w:p>
    <w:p w14:paraId="F0050000">
      <w:pPr>
        <w:pStyle w:val="Style_2"/>
        <w:ind/>
        <w:jc w:val="right"/>
        <w:rPr>
          <w:sz w:val="24"/>
        </w:rPr>
      </w:pPr>
    </w:p>
    <w:p w14:paraId="F1050000">
      <w:pPr>
        <w:pStyle w:val="Style_2"/>
        <w:ind/>
        <w:jc w:val="right"/>
        <w:rPr>
          <w:sz w:val="24"/>
        </w:rPr>
      </w:pPr>
    </w:p>
    <w:p w14:paraId="F2050000">
      <w:pPr>
        <w:pStyle w:val="Style_2"/>
        <w:ind/>
        <w:jc w:val="right"/>
        <w:rPr>
          <w:sz w:val="24"/>
        </w:rPr>
      </w:pPr>
    </w:p>
    <w:p w14:paraId="F3050000">
      <w:pPr>
        <w:pStyle w:val="Style_2"/>
        <w:ind/>
        <w:jc w:val="right"/>
        <w:rPr>
          <w:sz w:val="24"/>
        </w:rPr>
      </w:pPr>
    </w:p>
    <w:p w14:paraId="F4050000">
      <w:pPr>
        <w:pStyle w:val="Style_2"/>
        <w:ind/>
        <w:jc w:val="right"/>
        <w:rPr>
          <w:sz w:val="24"/>
          <w:highlight w:val="yellow"/>
        </w:rPr>
      </w:pPr>
    </w:p>
    <w:p w14:paraId="F5050000">
      <w:pPr>
        <w:widowControl w:val="0"/>
        <w:ind/>
        <w:jc w:val="right"/>
      </w:pPr>
      <w:r>
        <w:rPr>
          <w:rFonts w:ascii="Times New Roman" w:hAnsi="Times New Roman"/>
          <w:sz w:val="24"/>
        </w:rPr>
        <w:t>Приложение 4</w:t>
      </w:r>
    </w:p>
    <w:p w14:paraId="F6050000">
      <w:pPr>
        <w:widowControl w:val="0"/>
        <w:ind/>
        <w:jc w:val="center"/>
      </w:pPr>
      <w:r>
        <w:rPr>
          <w:rFonts w:ascii="Times New Roman" w:hAnsi="Times New Roman"/>
          <w:b w:val="1"/>
          <w:sz w:val="24"/>
        </w:rPr>
        <w:t>РАСХОДЫ НА РЕАЛИЗАЦИЮ МУНИЦИПАЛЬНОЙ ПРОГРАММЫ</w:t>
      </w:r>
    </w:p>
    <w:p w14:paraId="F7050000">
      <w:pPr>
        <w:widowControl w:val="0"/>
        <w:ind/>
        <w:jc w:val="right"/>
        <w:rPr>
          <w:rFonts w:ascii="Times New Roman" w:hAnsi="Times New Roman"/>
          <w:sz w:val="24"/>
          <w:highlight w:val="yellow"/>
        </w:rPr>
      </w:pPr>
    </w:p>
    <w:tbl>
      <w:tblPr>
        <w:tblStyle w:val="Style_4"/>
        <w:tblInd w:type="dxa" w:w="-45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85"/>
        <w:gridCol w:w="1920"/>
        <w:gridCol w:w="1140"/>
        <w:gridCol w:w="795"/>
        <w:gridCol w:w="735"/>
        <w:gridCol w:w="735"/>
        <w:gridCol w:w="735"/>
        <w:gridCol w:w="735"/>
        <w:gridCol w:w="795"/>
        <w:gridCol w:w="795"/>
        <w:gridCol w:w="855"/>
        <w:gridCol w:w="840"/>
        <w:gridCol w:w="855"/>
        <w:gridCol w:w="855"/>
        <w:gridCol w:w="1079"/>
      </w:tblGrid>
      <w:tr>
        <w:trPr>
          <w:trHeight w:hRule="atLeast" w:val="300"/>
        </w:trPr>
        <w:tc>
          <w:tcPr>
            <w:tcW w:type="dxa" w:w="23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5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</w:t>
            </w:r>
          </w:p>
          <w:p w14:paraId="F905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пальной </w:t>
            </w:r>
          </w:p>
          <w:p w14:paraId="FA050000">
            <w:pPr>
              <w:pStyle w:val="Style_2"/>
              <w:ind/>
              <w:jc w:val="center"/>
            </w:pPr>
            <w:r>
              <w:rPr>
                <w:sz w:val="24"/>
              </w:rPr>
              <w:t>программы, подпрограммы</w:t>
            </w:r>
          </w:p>
        </w:tc>
        <w:tc>
          <w:tcPr>
            <w:tcW w:type="dxa" w:w="1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5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</w:p>
          <w:p w14:paraId="FC05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финанси</w:t>
            </w:r>
          </w:p>
          <w:p w14:paraId="FD05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рования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Объем расходов всего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(тыс. рублей),</w:t>
            </w:r>
          </w:p>
        </w:tc>
        <w:tc>
          <w:tcPr>
            <w:tcW w:type="dxa" w:w="980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 том числе по годам реализации</w:t>
            </w:r>
          </w:p>
          <w:p w14:paraId="00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программы, </w:t>
            </w:r>
          </w:p>
        </w:tc>
      </w:tr>
      <w:tr>
        <w:trPr>
          <w:trHeight w:hRule="atLeast" w:val="773"/>
        </w:trPr>
        <w:tc>
          <w:tcPr>
            <w:tcW w:type="dxa" w:w="23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6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14:paraId="0206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6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14:paraId="0406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6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14:paraId="0606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60000">
            <w:pPr>
              <w:widowControl w:val="0"/>
              <w:ind w:firstLine="0" w:left="0" w:right="-75"/>
              <w:jc w:val="center"/>
            </w:pPr>
            <w:r>
              <w:rPr>
                <w:rFonts w:ascii="Times New Roman" w:hAnsi="Times New Roman"/>
                <w:sz w:val="24"/>
              </w:rPr>
              <w:t>2022   год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60000">
            <w:pPr>
              <w:widowControl w:val="0"/>
              <w:ind w:firstLine="0" w:left="-57" w:righ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60000">
            <w:pPr>
              <w:widowControl w:val="0"/>
              <w:ind w:firstLine="0" w:left="-57" w:righ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2024    год 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60000">
            <w:pPr>
              <w:widowControl w:val="0"/>
              <w:ind w:firstLine="0" w:left="0" w:right="0"/>
              <w:jc w:val="center"/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14:paraId="0B060000">
            <w:pPr>
              <w:widowControl w:val="0"/>
              <w:ind w:firstLine="0" w:left="0" w:righ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14:paraId="0D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14:paraId="0F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2028</w:t>
            </w:r>
          </w:p>
          <w:p w14:paraId="11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13060000">
            <w:pPr>
              <w:widowControl w:val="0"/>
              <w:ind w:firstLine="0" w:left="113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10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2030 год</w:t>
            </w:r>
          </w:p>
        </w:tc>
      </w:tr>
    </w:tbl>
    <w:p w14:paraId="15060000">
      <w:pPr>
        <w:widowControl w:val="0"/>
        <w:ind/>
        <w:jc w:val="right"/>
        <w:rPr>
          <w:rFonts w:ascii="Times New Roman" w:hAnsi="Times New Roman"/>
          <w:sz w:val="24"/>
        </w:rPr>
      </w:pPr>
    </w:p>
    <w:tbl>
      <w:tblPr>
        <w:tblStyle w:val="Style_4"/>
        <w:tblInd w:type="dxa" w:w="-49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45"/>
        <w:gridCol w:w="1920"/>
        <w:gridCol w:w="1140"/>
        <w:gridCol w:w="795"/>
        <w:gridCol w:w="735"/>
        <w:gridCol w:w="735"/>
        <w:gridCol w:w="735"/>
        <w:gridCol w:w="735"/>
        <w:gridCol w:w="795"/>
        <w:gridCol w:w="795"/>
        <w:gridCol w:w="855"/>
        <w:gridCol w:w="840"/>
        <w:gridCol w:w="855"/>
        <w:gridCol w:w="855"/>
        <w:gridCol w:w="1064"/>
      </w:tblGrid>
      <w:tr>
        <w:trPr>
          <w:trHeight w:hRule="atLeast" w:val="315"/>
          <w:tblHeader/>
        </w:trPr>
        <w:tc>
          <w:tcPr>
            <w:tcW w:type="dxa" w:w="24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>
        <w:trPr>
          <w:trHeight w:hRule="atLeast" w:val="315"/>
        </w:trPr>
        <w:tc>
          <w:tcPr>
            <w:tcW w:type="dxa" w:w="24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программа  </w:t>
            </w:r>
          </w:p>
          <w:p w14:paraId="26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</w:rPr>
              <w:t>Развитие молодежной политики</w:t>
            </w:r>
          </w:p>
          <w:p w14:paraId="27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  Покровском сельском </w:t>
            </w:r>
          </w:p>
          <w:p w14:paraId="28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поселении»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6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427,7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45,8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Бюджет поселения,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6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427,7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45,8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</w:tr>
      <w:tr>
        <w:trPr>
          <w:trHeight w:hRule="atLeast" w:val="34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безвозмездные поступления в  бюджет поселения,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60000">
            <w:pPr>
              <w:ind/>
              <w:jc w:val="left"/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-федерального бюджета,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60000">
            <w:pPr>
              <w:ind/>
              <w:jc w:val="left"/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 xml:space="preserve">-бюджета района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36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60000">
            <w:pPr>
              <w:ind/>
              <w:jc w:val="left"/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подпрограмма  </w:t>
            </w:r>
          </w:p>
          <w:p w14:paraId="9A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</w:rPr>
              <w:t>Развитие молодежной политики</w:t>
            </w:r>
          </w:p>
          <w:p w14:paraId="9B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  Покровском сельском </w:t>
            </w:r>
          </w:p>
          <w:p w14:paraId="9C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поселении»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6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409,7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20,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45,8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бюджет поселения,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6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409,7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45,8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</w:tr>
      <w:tr>
        <w:trPr>
          <w:trHeight w:hRule="atLeast" w:val="330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безвозмездные поступления в бюджет поселения,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60000">
            <w:pPr>
              <w:ind/>
              <w:jc w:val="left"/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- федерального бюджета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60000">
            <w:pPr>
              <w:ind/>
              <w:jc w:val="left"/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 xml:space="preserve">бюджета района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60000">
            <w:pPr>
              <w:ind/>
              <w:jc w:val="left"/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7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7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7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D070000">
      <w:pPr>
        <w:sectPr>
          <w:headerReference r:id="rId2" w:type="default"/>
          <w:pgSz w:h="11906" w:orient="landscape" w:w="16838"/>
          <w:pgMar w:bottom="720" w:footer="708" w:header="720" w:left="1134" w:right="1134" w:top="1134"/>
          <w:pgNumType w:fmt="decimal"/>
        </w:sectPr>
      </w:pPr>
    </w:p>
    <w:p w14:paraId="0E070000">
      <w:pPr>
        <w:pStyle w:val="Style_2"/>
        <w:ind/>
        <w:jc w:val="right"/>
      </w:pPr>
      <w:r>
        <w:rPr>
          <w:sz w:val="24"/>
        </w:rPr>
        <w:t>Приложение 2</w:t>
      </w:r>
    </w:p>
    <w:p w14:paraId="0F070000">
      <w:pPr>
        <w:pStyle w:val="Style_2"/>
        <w:ind/>
        <w:jc w:val="right"/>
      </w:pPr>
      <w:r>
        <w:rPr>
          <w:sz w:val="24"/>
        </w:rPr>
        <w:t xml:space="preserve">к постановлению Администрации </w:t>
      </w:r>
    </w:p>
    <w:p w14:paraId="10070000">
      <w:pPr>
        <w:pStyle w:val="Style_2"/>
        <w:ind/>
        <w:jc w:val="right"/>
      </w:pPr>
      <w:r>
        <w:rPr>
          <w:sz w:val="24"/>
        </w:rPr>
        <w:t>Покровского сельского поселения</w:t>
      </w:r>
    </w:p>
    <w:p w14:paraId="11070000">
      <w:pPr>
        <w:pStyle w:val="Style_2"/>
        <w:ind/>
        <w:jc w:val="right"/>
        <w:rPr>
          <w:sz w:val="24"/>
        </w:rPr>
      </w:pPr>
      <w:r>
        <w:rPr>
          <w:sz w:val="24"/>
        </w:rPr>
        <w:t>29.12.2023</w:t>
      </w:r>
      <w:r>
        <w:rPr>
          <w:sz w:val="24"/>
        </w:rPr>
        <w:t xml:space="preserve"> № 148</w:t>
      </w:r>
    </w:p>
    <w:p w14:paraId="12070000">
      <w:pPr>
        <w:pStyle w:val="Style_2"/>
        <w:ind/>
        <w:jc w:val="center"/>
        <w:rPr>
          <w:b w:val="1"/>
          <w:sz w:val="23"/>
        </w:rPr>
      </w:pPr>
    </w:p>
    <w:p w14:paraId="13070000">
      <w:pPr>
        <w:pStyle w:val="Style_2"/>
        <w:ind/>
        <w:jc w:val="right"/>
        <w:rPr>
          <w:b w:val="1"/>
          <w:sz w:val="28"/>
        </w:rPr>
      </w:pPr>
    </w:p>
    <w:p w14:paraId="14070000">
      <w:pPr>
        <w:ind/>
        <w:jc w:val="center"/>
      </w:pPr>
      <w:r>
        <w:rPr>
          <w:rFonts w:ascii="Times New Roman" w:hAnsi="Times New Roman"/>
          <w:sz w:val="28"/>
        </w:rPr>
        <w:t>ПЕРЕЧЕНЬ</w:t>
      </w:r>
    </w:p>
    <w:p w14:paraId="15070000">
      <w:pPr>
        <w:ind/>
        <w:jc w:val="center"/>
      </w:pPr>
      <w:r>
        <w:rPr>
          <w:rFonts w:ascii="Times New Roman" w:hAnsi="Times New Roman"/>
          <w:sz w:val="28"/>
        </w:rPr>
        <w:t>постановлений Администрации Покровского сельского поселения,</w:t>
      </w:r>
    </w:p>
    <w:p w14:paraId="16070000">
      <w:pPr>
        <w:ind/>
        <w:jc w:val="center"/>
      </w:pPr>
      <w:r>
        <w:rPr>
          <w:rFonts w:ascii="Times New Roman" w:hAnsi="Times New Roman"/>
          <w:sz w:val="28"/>
        </w:rPr>
        <w:t>признанных утратившими силу</w:t>
      </w:r>
    </w:p>
    <w:p w14:paraId="17070000">
      <w:pPr>
        <w:ind/>
        <w:jc w:val="center"/>
        <w:rPr>
          <w:rFonts w:ascii="Times New Roman" w:hAnsi="Times New Roman"/>
          <w:sz w:val="28"/>
        </w:rPr>
      </w:pPr>
    </w:p>
    <w:p w14:paraId="18070000">
      <w:pPr>
        <w:widowControl w:val="1"/>
        <w:tabs>
          <w:tab w:leader="none" w:pos="570" w:val="left"/>
        </w:tabs>
        <w:ind w:firstLine="850" w:left="0" w:right="0"/>
        <w:jc w:val="both"/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 xml:space="preserve">Постановление Администрации Покровского сельского поселения от 02.12.2016 № 66 «Об утверждении муниципальной программы  </w:t>
      </w:r>
      <w:r>
        <w:rPr>
          <w:rFonts w:ascii="Times New Roman" w:hAnsi="Times New Roman"/>
          <w:b w:val="0"/>
          <w:sz w:val="28"/>
        </w:rPr>
        <w:t xml:space="preserve">Покровского сельского поселения   «Развитие молодежной политики в Покровском сельском </w:t>
      </w:r>
      <w:r>
        <w:rPr>
          <w:rFonts w:ascii="Times New Roman" w:hAnsi="Times New Roman"/>
          <w:b w:val="0"/>
          <w:sz w:val="28"/>
        </w:rPr>
        <w:t>поселении» на 2017-2020 годы</w:t>
      </w:r>
    </w:p>
    <w:p w14:paraId="19070000">
      <w:pPr>
        <w:widowControl w:val="1"/>
        <w:tabs>
          <w:tab w:leader="none" w:pos="570" w:val="left"/>
        </w:tabs>
        <w:ind w:firstLine="850" w:left="0" w:right="0"/>
        <w:jc w:val="both"/>
        <w:rPr>
          <w:rFonts w:ascii="Times New Roman" w:hAnsi="Times New Roman"/>
          <w:b w:val="0"/>
          <w:sz w:val="28"/>
        </w:rPr>
      </w:pPr>
    </w:p>
    <w:p w14:paraId="1A070000">
      <w:pPr>
        <w:widowControl w:val="1"/>
        <w:tabs>
          <w:tab w:leader="none" w:pos="570" w:val="left"/>
        </w:tabs>
        <w:ind w:firstLine="850" w:left="0" w:right="0"/>
        <w:jc w:val="both"/>
      </w:pPr>
      <w:r>
        <w:rPr>
          <w:rFonts w:ascii="Times New Roman" w:hAnsi="Times New Roman"/>
          <w:b w:val="0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 xml:space="preserve">Постановление Администрации Покровского сельского поселения от 14.12.2017 № 86 «О    внесении    изменений    в муниципальную  </w:t>
      </w:r>
      <w:r>
        <w:rPr>
          <w:rFonts w:ascii="Times New Roman" w:hAnsi="Times New Roman"/>
          <w:b w:val="0"/>
          <w:sz w:val="28"/>
        </w:rPr>
        <w:t xml:space="preserve">программу Покровского сельского    поселения «Развитие молодежной политики в Покровском </w:t>
      </w:r>
      <w:r>
        <w:rPr>
          <w:rFonts w:ascii="Times New Roman" w:hAnsi="Times New Roman"/>
          <w:b w:val="0"/>
          <w:sz w:val="28"/>
        </w:rPr>
        <w:t>сельском поселении» на 2017-2020 годы</w:t>
      </w:r>
    </w:p>
    <w:sectPr>
      <w:headerReference r:id="rId1" w:type="default"/>
      <w:pgSz w:h="16838" w:orient="portrait" w:w="11906"/>
      <w:pgMar w:bottom="1134" w:footer="708" w:header="720" w:left="1701" w:right="850" w:top="776"/>
      <w:pgNumType w:fmt="decimal" w:start="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b w:val="1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lef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tabs>
          <w:tab w:leader="none" w:pos="360" w:val="left"/>
        </w:tabs>
        <w:ind w:hanging="360" w:left="360"/>
      </w:pPr>
      <w:rPr>
        <w:rFonts w:ascii="Symbol" w:hAnsi="Symbol"/>
        <w:sz w:val="23"/>
      </w:rPr>
    </w:lvl>
  </w:abstractNum>
  <w:abstractNum w:abstractNumId="1">
    <w:lvl w:ilvl="0">
      <w:start w:val="1"/>
      <w:numFmt w:val="bullet"/>
      <w:lvlText w:val=""/>
      <w:lvlJc w:val="left"/>
      <w:pPr>
        <w:tabs>
          <w:tab w:leader="none" w:pos="360" w:val="left"/>
        </w:tabs>
        <w:ind w:hanging="360" w:left="360"/>
      </w:pPr>
      <w:rPr>
        <w:rFonts w:ascii="Symbol" w:hAnsi="Symbol"/>
        <w:sz w:val="2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  <w:rPr>
      <w:rFonts w:ascii="Liberation Serif" w:hAnsi="Liberation Serif"/>
      <w:color w:val="000000"/>
      <w:sz w:val="24"/>
    </w:rPr>
  </w:style>
  <w:style w:default="1" w:styleId="Style_9_ch" w:type="character">
    <w:name w:val="Normal"/>
    <w:link w:val="Style_9"/>
    <w:rPr>
      <w:rFonts w:ascii="Liberation Serif" w:hAnsi="Liberation Serif"/>
      <w:color w:val="000000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8" w:type="paragraph">
    <w:name w:val="Emphasis"/>
    <w:link w:val="Style_8_ch"/>
    <w:rPr>
      <w:i w:val="1"/>
    </w:rPr>
  </w:style>
  <w:style w:styleId="Style_8_ch" w:type="character">
    <w:name w:val="Emphasis"/>
    <w:link w:val="Style_8"/>
    <w:rPr>
      <w:i w:val="1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5" w:type="paragraph">
    <w:name w:val="Содержимое таблицы"/>
    <w:basedOn w:val="Style_9"/>
    <w:link w:val="Style_5_ch"/>
  </w:style>
  <w:style w:styleId="Style_5_ch" w:type="character">
    <w:name w:val="Содержимое таблицы"/>
    <w:basedOn w:val="Style_9_ch"/>
    <w:link w:val="Style_5"/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WW8Num2z0"/>
    <w:link w:val="Style_15_ch"/>
    <w:rPr>
      <w:rFonts w:ascii="Symbol" w:hAnsi="Symbol"/>
      <w:sz w:val="23"/>
    </w:rPr>
  </w:style>
  <w:style w:styleId="Style_15_ch" w:type="character">
    <w:name w:val="WW8Num2z0"/>
    <w:link w:val="Style_15"/>
    <w:rPr>
      <w:rFonts w:ascii="Symbol" w:hAnsi="Symbol"/>
      <w:sz w:val="23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9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9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7" w:type="paragraph">
    <w:name w:val="Body Text"/>
    <w:basedOn w:val="Style_9"/>
    <w:link w:val="Style_7_ch"/>
    <w:pPr>
      <w:spacing w:after="140" w:before="0" w:line="276" w:lineRule="auto"/>
      <w:ind/>
    </w:pPr>
  </w:style>
  <w:style w:styleId="Style_7_ch" w:type="character">
    <w:name w:val="Body Text"/>
    <w:basedOn w:val="Style_9_ch"/>
    <w:link w:val="Style_7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9"/>
    <w:next w:val="Style_9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WW8Num1z0"/>
    <w:link w:val="Style_24_ch"/>
    <w:rPr>
      <w:rFonts w:ascii="Symbol" w:hAnsi="Symbol"/>
      <w:sz w:val="23"/>
    </w:rPr>
  </w:style>
  <w:style w:styleId="Style_24_ch" w:type="character">
    <w:name w:val="WW8Num1z0"/>
    <w:link w:val="Style_24"/>
    <w:rPr>
      <w:rFonts w:ascii="Symbol" w:hAnsi="Symbol"/>
      <w:sz w:val="23"/>
    </w:rPr>
  </w:style>
  <w:style w:styleId="Style_25" w:type="paragraph">
    <w:name w:val="toc 8"/>
    <w:next w:val="Style_9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3" w:type="paragraph">
    <w:name w:val="Основной шрифт абзаца"/>
    <w:link w:val="Style_3_ch"/>
  </w:style>
  <w:style w:styleId="Style_3_ch" w:type="character">
    <w:name w:val="Основной шрифт абзаца"/>
    <w:link w:val="Style_3"/>
  </w:style>
  <w:style w:styleId="Style_26" w:type="paragraph">
    <w:name w:val="toc 5"/>
    <w:next w:val="Style_9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Колонтитул"/>
    <w:basedOn w:val="Style_9"/>
    <w:link w:val="Style_27_ch"/>
    <w:pPr>
      <w:tabs>
        <w:tab w:leader="none" w:pos="4819" w:val="center"/>
        <w:tab w:leader="none" w:pos="9638" w:val="right"/>
      </w:tabs>
      <w:ind/>
    </w:pPr>
  </w:style>
  <w:style w:styleId="Style_27_ch" w:type="character">
    <w:name w:val="Колонтитул"/>
    <w:basedOn w:val="Style_9_ch"/>
    <w:link w:val="Style_27"/>
  </w:style>
  <w:style w:styleId="Style_2" w:type="paragraph">
    <w:name w:val="ConsPlusCell"/>
    <w:link w:val="Style_2_ch"/>
    <w:pPr>
      <w:widowControl w:val="0"/>
      <w:ind/>
    </w:pPr>
    <w:rPr>
      <w:rFonts w:ascii="Times New Roman" w:hAnsi="Times New Roman"/>
      <w:color w:val="000000"/>
      <w:sz w:val="24"/>
    </w:rPr>
  </w:style>
  <w:style w:styleId="Style_2_ch" w:type="character">
    <w:name w:val="ConsPlusCell"/>
    <w:link w:val="Style_2"/>
    <w:rPr>
      <w:rFonts w:ascii="Times New Roman" w:hAnsi="Times New Roman"/>
      <w:color w:val="000000"/>
      <w:sz w:val="24"/>
    </w:rPr>
  </w:style>
  <w:style w:styleId="Style_28" w:type="paragraph">
    <w:name w:val="Subtitle"/>
    <w:next w:val="Style_9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9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9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9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2023-12-29T08:44:07Z</dcterms:modified>
</cp:coreProperties>
</file>