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rPr>
          <w:sz w:val="28"/>
        </w:rPr>
      </w:pPr>
    </w:p>
    <w:p w14:paraId="04000000">
      <w:pPr>
        <w:ind w:firstLine="0" w:left="9072"/>
        <w:rPr>
          <w:sz w:val="26"/>
        </w:rPr>
      </w:pPr>
      <w:r>
        <w:rPr>
          <w:sz w:val="30"/>
        </w:rPr>
        <w:t xml:space="preserve">                                        </w:t>
      </w:r>
      <w:r>
        <w:rPr>
          <w:sz w:val="26"/>
        </w:rPr>
        <w:t xml:space="preserve">  «Приложение 1</w:t>
      </w:r>
    </w:p>
    <w:p w14:paraId="05000000">
      <w:pPr>
        <w:ind w:firstLine="0" w:left="9072"/>
        <w:jc w:val="center"/>
        <w:rPr>
          <w:sz w:val="26"/>
        </w:rPr>
      </w:pPr>
      <w:r>
        <w:rPr>
          <w:sz w:val="26"/>
        </w:rPr>
        <w:t>к решению Собрания депутатов Покровского сельского поселения</w:t>
      </w:r>
    </w:p>
    <w:p w14:paraId="06000000">
      <w:pPr>
        <w:ind w:firstLine="0" w:left="8931"/>
        <w:jc w:val="center"/>
        <w:rPr>
          <w:sz w:val="26"/>
        </w:rPr>
      </w:pPr>
      <w:r>
        <w:rPr>
          <w:sz w:val="26"/>
        </w:rPr>
        <w:t>«О бюджете Покровского сельского поселе</w:t>
      </w:r>
      <w:r>
        <w:rPr>
          <w:sz w:val="26"/>
        </w:rPr>
        <w:t xml:space="preserve">ния </w:t>
      </w:r>
      <w:r>
        <w:rPr>
          <w:sz w:val="26"/>
        </w:rPr>
        <w:t>Неклиновского</w:t>
      </w:r>
      <w:r>
        <w:rPr>
          <w:sz w:val="26"/>
        </w:rPr>
        <w:t xml:space="preserve"> района на 2025</w:t>
      </w:r>
      <w:r>
        <w:rPr>
          <w:sz w:val="26"/>
        </w:rPr>
        <w:t xml:space="preserve"> год</w:t>
      </w:r>
    </w:p>
    <w:p w14:paraId="07000000">
      <w:pPr>
        <w:ind w:firstLine="0" w:left="8931"/>
        <w:jc w:val="center"/>
        <w:rPr>
          <w:sz w:val="28"/>
        </w:rPr>
      </w:pPr>
      <w:r>
        <w:rPr>
          <w:sz w:val="26"/>
        </w:rPr>
        <w:t>и на плановый</w:t>
      </w:r>
      <w:r>
        <w:rPr>
          <w:sz w:val="26"/>
        </w:rPr>
        <w:t xml:space="preserve"> период 2026 и 2027</w:t>
      </w:r>
      <w:r>
        <w:rPr>
          <w:sz w:val="26"/>
        </w:rPr>
        <w:t xml:space="preserve"> годов»</w:t>
      </w:r>
    </w:p>
    <w:p w14:paraId="08000000">
      <w:pPr>
        <w:ind w:firstLine="0" w:left="9072"/>
        <w:jc w:val="center"/>
        <w:rPr>
          <w:sz w:val="28"/>
        </w:rPr>
      </w:pPr>
    </w:p>
    <w:p w14:paraId="09000000">
      <w:pPr>
        <w:ind/>
        <w:jc w:val="center"/>
        <w:rPr>
          <w:b w:val="1"/>
          <w:sz w:val="26"/>
        </w:rPr>
      </w:pPr>
      <w:r>
        <w:rPr>
          <w:b w:val="1"/>
          <w:sz w:val="26"/>
        </w:rPr>
        <w:t xml:space="preserve">Объем поступлений доходов бюджета Покровского сельского поселения </w:t>
      </w:r>
    </w:p>
    <w:p w14:paraId="0A000000">
      <w:pPr>
        <w:ind/>
        <w:jc w:val="center"/>
        <w:rPr>
          <w:b w:val="1"/>
          <w:sz w:val="26"/>
        </w:rPr>
      </w:pPr>
      <w:r>
        <w:rPr>
          <w:b w:val="1"/>
          <w:sz w:val="26"/>
        </w:rPr>
        <w:t>на 2025 год и на плановый период 2026 и 2027</w:t>
      </w:r>
      <w:r>
        <w:rPr>
          <w:b w:val="1"/>
          <w:sz w:val="26"/>
        </w:rPr>
        <w:t xml:space="preserve"> годов</w:t>
      </w:r>
    </w:p>
    <w:p w14:paraId="0B000000">
      <w:pPr>
        <w:ind/>
        <w:jc w:val="center"/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                                                 (тыс. рублей)</w:t>
      </w:r>
    </w:p>
    <w:tbl>
      <w:tblPr>
        <w:tblStyle w:val="Style_3"/>
        <w:tblInd w:type="dxa" w:w="-318"/>
        <w:tblLayout w:type="fixed"/>
      </w:tblPr>
      <w:tblGrid>
        <w:gridCol w:w="2978"/>
        <w:gridCol w:w="7371"/>
        <w:gridCol w:w="1701"/>
        <w:gridCol w:w="1701"/>
        <w:gridCol w:w="1304"/>
      </w:tblGrid>
      <w:tr>
        <w:trPr>
          <w:trHeight w:hRule="atLeast" w:val="1288"/>
        </w:trPr>
        <w:tc>
          <w:tcPr>
            <w:tcW w:type="dxa" w:w="2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00000">
            <w:pPr>
              <w:ind/>
              <w:jc w:val="center"/>
              <w:rPr>
                <w:b w:val="1"/>
                <w:sz w:val="26"/>
              </w:rPr>
            </w:pPr>
            <w:r>
              <w:rPr>
                <w:b w:val="1"/>
                <w:sz w:val="26"/>
              </w:rPr>
              <w:t>Код бюджетной классификации Российской Федерации</w:t>
            </w:r>
          </w:p>
        </w:tc>
        <w:tc>
          <w:tcPr>
            <w:tcW w:type="dxa" w:w="7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00000">
            <w:pPr>
              <w:ind/>
              <w:jc w:val="center"/>
              <w:rPr>
                <w:b w:val="1"/>
                <w:sz w:val="26"/>
              </w:rPr>
            </w:pPr>
            <w:r>
              <w:rPr>
                <w:b w:val="1"/>
                <w:sz w:val="26"/>
              </w:rPr>
              <w:t>Наименование</w:t>
            </w:r>
          </w:p>
        </w:tc>
        <w:tc>
          <w:tcPr>
            <w:tcW w:type="dxa" w:w="170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00000">
            <w:pPr>
              <w:ind/>
              <w:jc w:val="center"/>
              <w:rPr>
                <w:b w:val="1"/>
                <w:sz w:val="26"/>
              </w:rPr>
            </w:pPr>
            <w:r>
              <w:rPr>
                <w:b w:val="1"/>
                <w:sz w:val="26"/>
              </w:rPr>
              <w:t>2025</w:t>
            </w:r>
            <w:r>
              <w:rPr>
                <w:b w:val="1"/>
                <w:sz w:val="26"/>
              </w:rPr>
              <w:t xml:space="preserve"> год</w:t>
            </w:r>
          </w:p>
        </w:tc>
        <w:tc>
          <w:tcPr>
            <w:tcW w:type="dxa" w:w="170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00000">
            <w:pPr>
              <w:ind/>
              <w:jc w:val="center"/>
              <w:rPr>
                <w:b w:val="1"/>
                <w:sz w:val="26"/>
              </w:rPr>
            </w:pPr>
            <w:r>
              <w:rPr>
                <w:b w:val="1"/>
                <w:sz w:val="26"/>
              </w:rPr>
              <w:t>2026</w:t>
            </w:r>
            <w:r>
              <w:rPr>
                <w:b w:val="1"/>
                <w:sz w:val="26"/>
              </w:rPr>
              <w:t xml:space="preserve"> год</w:t>
            </w:r>
          </w:p>
        </w:tc>
        <w:tc>
          <w:tcPr>
            <w:tcW w:type="dxa" w:w="130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00000">
            <w:pPr>
              <w:ind/>
              <w:jc w:val="center"/>
              <w:rPr>
                <w:b w:val="1"/>
                <w:sz w:val="26"/>
              </w:rPr>
            </w:pPr>
            <w:r>
              <w:rPr>
                <w:b w:val="1"/>
                <w:sz w:val="26"/>
              </w:rPr>
              <w:t>2027</w:t>
            </w:r>
            <w:r>
              <w:rPr>
                <w:b w:val="1"/>
                <w:sz w:val="26"/>
              </w:rPr>
              <w:t xml:space="preserve"> год</w:t>
            </w:r>
          </w:p>
        </w:tc>
      </w:tr>
    </w:tbl>
    <w:p w14:paraId="11000000">
      <w:pPr>
        <w:rPr>
          <w:sz w:val="26"/>
        </w:rPr>
      </w:pPr>
    </w:p>
    <w:tbl>
      <w:tblPr>
        <w:tblStyle w:val="Style_3"/>
        <w:tblInd w:type="dxa" w:w="-318"/>
        <w:tblLayout w:type="fixed"/>
      </w:tblPr>
      <w:tblGrid>
        <w:gridCol w:w="2979"/>
        <w:gridCol w:w="7370"/>
        <w:gridCol w:w="1701"/>
        <w:gridCol w:w="1701"/>
        <w:gridCol w:w="1304"/>
      </w:tblGrid>
      <w:tr>
        <w:trPr>
          <w:trHeight w:hRule="atLeast" w:val="311"/>
        </w:trPr>
        <w:tc>
          <w:tcPr>
            <w:tcW w:type="dxa" w:w="2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type="dxa" w:w="737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type="dxa" w:w="170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0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type="dxa" w:w="170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type="dxa" w:w="130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</w:tr>
      <w:tr>
        <w:trPr>
          <w:trHeight w:hRule="atLeast" w:val="311"/>
        </w:trPr>
        <w:tc>
          <w:tcPr>
            <w:tcW w:type="dxa" w:w="2979"/>
            <w:tcBorders>
              <w:top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  <w:rPr>
                <w:sz w:val="26"/>
              </w:rPr>
            </w:pPr>
          </w:p>
        </w:tc>
        <w:tc>
          <w:tcPr>
            <w:tcW w:type="dxa" w:w="7370"/>
            <w:tcBorders>
              <w:top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ВСЕГО</w:t>
            </w:r>
          </w:p>
        </w:tc>
        <w:tc>
          <w:tcPr>
            <w:tcW w:type="dxa" w:w="1701"/>
            <w:tcBorders>
              <w:top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38 452,3</w:t>
            </w:r>
          </w:p>
        </w:tc>
        <w:tc>
          <w:tcPr>
            <w:tcW w:type="dxa" w:w="1701"/>
            <w:tcBorders>
              <w:top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39 708,4</w:t>
            </w:r>
          </w:p>
        </w:tc>
        <w:tc>
          <w:tcPr>
            <w:tcW w:type="dxa" w:w="1304"/>
            <w:tcBorders>
              <w:top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39 949,1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 xml:space="preserve">1 00 00000 00 0000 000 </w:t>
            </w:r>
          </w:p>
        </w:tc>
        <w:tc>
          <w:tcPr>
            <w:tcW w:type="dxa" w:w="7370"/>
            <w:tcBorders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НАЛОГОВЫЕ И НЕНАЛОГОВЫЕ ДОХОДЫ</w:t>
            </w:r>
          </w:p>
        </w:tc>
        <w:tc>
          <w:tcPr>
            <w:tcW w:type="dxa" w:w="1701"/>
            <w:tcBorders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33 456</w:t>
            </w:r>
            <w:r>
              <w:rPr>
                <w:spacing w:val="-12"/>
                <w:sz w:val="26"/>
              </w:rPr>
              <w:t>,9</w:t>
            </w:r>
          </w:p>
        </w:tc>
        <w:tc>
          <w:tcPr>
            <w:tcW w:type="dxa" w:w="1701"/>
            <w:tcBorders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35 333,9</w:t>
            </w:r>
          </w:p>
        </w:tc>
        <w:tc>
          <w:tcPr>
            <w:tcW w:type="dxa" w:w="1304"/>
            <w:tcBorders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36 924,1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 xml:space="preserve">1 01 00000 00 0000 000 </w:t>
            </w:r>
          </w:p>
        </w:tc>
        <w:tc>
          <w:tcPr>
            <w:tcW w:type="dxa" w:w="737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НАЛОГИ НА ПРИБЫЛЬ, ДОХОДЫ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15 846,8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16</w:t>
            </w:r>
            <w:r>
              <w:rPr>
                <w:spacing w:val="-12"/>
                <w:sz w:val="26"/>
              </w:rPr>
              <w:t> 971,9</w:t>
            </w:r>
          </w:p>
        </w:tc>
        <w:tc>
          <w:tcPr>
            <w:tcW w:type="dxa" w:w="130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18 109</w:t>
            </w:r>
            <w:r>
              <w:rPr>
                <w:spacing w:val="-12"/>
                <w:sz w:val="26"/>
              </w:rPr>
              <w:t>,0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0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 xml:space="preserve">1 01 02000 01 0000 110 </w:t>
            </w:r>
          </w:p>
        </w:tc>
        <w:tc>
          <w:tcPr>
            <w:tcW w:type="dxa" w:w="737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Налог на доходы физических лиц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15 846,8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16 971,9</w:t>
            </w:r>
          </w:p>
        </w:tc>
        <w:tc>
          <w:tcPr>
            <w:tcW w:type="dxa" w:w="130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18 109</w:t>
            </w:r>
            <w:r>
              <w:rPr>
                <w:spacing w:val="-12"/>
                <w:sz w:val="26"/>
              </w:rPr>
              <w:t>,0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0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 xml:space="preserve">1 01 02010 01 0000 110 </w:t>
            </w:r>
          </w:p>
        </w:tc>
        <w:tc>
          <w:tcPr>
            <w:tcW w:type="dxa" w:w="737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00000">
            <w:pPr>
              <w:ind/>
              <w:jc w:val="both"/>
              <w:rPr>
                <w:sz w:val="26"/>
              </w:rPr>
            </w:pPr>
            <w:r>
              <w:rPr>
                <w:sz w:val="26"/>
                <w:highlight w:val="white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</w:t>
            </w:r>
            <w:r>
              <w:rPr>
                <w:sz w:val="26"/>
              </w:rPr>
              <w:t xml:space="preserve"> полученных физическим лицом - налоговым резидентом Российской Федерации в виде дивидендов</w:t>
            </w:r>
            <w:r>
              <w:rPr>
                <w:sz w:val="26"/>
                <w:highlight w:val="white"/>
              </w:rPr>
              <w:t xml:space="preserve"> </w:t>
            </w:r>
            <w:r>
              <w:rPr>
                <w:sz w:val="26"/>
              </w:rPr>
              <w:t>(в части суммы налога, не превышающей 650</w:t>
            </w:r>
            <w:r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тысяч </w:t>
            </w:r>
            <w:r>
              <w:rPr>
                <w:sz w:val="26"/>
              </w:rPr>
              <w:t>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15 811,8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16 936,9</w:t>
            </w:r>
          </w:p>
        </w:tc>
        <w:tc>
          <w:tcPr>
            <w:tcW w:type="dxa" w:w="130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18 069</w:t>
            </w:r>
            <w:r>
              <w:rPr>
                <w:spacing w:val="-12"/>
                <w:sz w:val="26"/>
              </w:rPr>
              <w:t>,0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0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 xml:space="preserve">1 01 02020 01 0000 110 </w:t>
            </w:r>
          </w:p>
        </w:tc>
        <w:tc>
          <w:tcPr>
            <w:tcW w:type="dxa" w:w="737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00000">
            <w:pPr>
              <w:ind/>
              <w:jc w:val="both"/>
              <w:rPr>
                <w:sz w:val="26"/>
                <w:highlight w:val="white"/>
              </w:rPr>
            </w:pPr>
            <w:r>
              <w:rPr>
                <w:sz w:val="26"/>
                <w:highlight w:val="white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 </w:t>
            </w:r>
            <w:r>
              <w:rPr>
                <w:sz w:val="26"/>
                <w:highlight w:val="white"/>
              </w:rPr>
              <w:fldChar w:fldCharType="begin"/>
            </w:r>
            <w:r>
              <w:rPr>
                <w:sz w:val="26"/>
                <w:highlight w:val="white"/>
              </w:rPr>
              <w:instrText>HYPERLINK "https://www.consultant.ru/document/cons_doc_LAW_436907/7f582f3c858aa7964afaa8323e3b99d9147afb9f/#dst3019"</w:instrText>
            </w:r>
            <w:r>
              <w:rPr>
                <w:sz w:val="26"/>
                <w:highlight w:val="white"/>
              </w:rPr>
              <w:fldChar w:fldCharType="separate"/>
            </w:r>
            <w:r>
              <w:rPr>
                <w:sz w:val="26"/>
                <w:highlight w:val="white"/>
              </w:rPr>
              <w:t>статьей 227</w:t>
            </w:r>
            <w:r>
              <w:rPr>
                <w:sz w:val="26"/>
                <w:highlight w:val="white"/>
              </w:rPr>
              <w:fldChar w:fldCharType="end"/>
            </w:r>
            <w:r>
              <w:rPr>
                <w:sz w:val="26"/>
                <w:highlight w:val="white"/>
              </w:rPr>
              <w:t xml:space="preserve"> Налогового кодекса Российской Федерации </w:t>
            </w:r>
            <w:r>
              <w:rPr>
                <w:sz w:val="26"/>
              </w:rPr>
              <w:t>(в части суммы налога, не превышающей 650 тысяч рублей за налоговые периоды до 1 января 2025 года, а также</w:t>
            </w:r>
            <w:r>
              <w:rPr>
                <w:sz w:val="26"/>
              </w:rPr>
              <w:t xml:space="preserve"> в части суммы налога, не превышающей 312 тысяч рублей за налоговые периоды после 1 января 2025 года)</w:t>
            </w:r>
            <w:bookmarkStart w:id="1" w:name="_GoBack"/>
            <w:bookmarkEnd w:id="1"/>
          </w:p>
          <w:p w14:paraId="32000000">
            <w:pPr>
              <w:ind/>
              <w:jc w:val="both"/>
              <w:rPr>
                <w:sz w:val="26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35,0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35,0</w:t>
            </w:r>
          </w:p>
        </w:tc>
        <w:tc>
          <w:tcPr>
            <w:tcW w:type="dxa" w:w="130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40,0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0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 xml:space="preserve">1 05 00000 00 0000 000 </w:t>
            </w:r>
          </w:p>
        </w:tc>
        <w:tc>
          <w:tcPr>
            <w:tcW w:type="dxa" w:w="737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НАЛОГИ НА СОВОКУПНЫЙ ДОХОД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4 240,4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4 663,6</w:t>
            </w:r>
          </w:p>
        </w:tc>
        <w:tc>
          <w:tcPr>
            <w:tcW w:type="dxa" w:w="130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5 083,3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0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 xml:space="preserve">1 05 03000 01 0000 110 </w:t>
            </w:r>
          </w:p>
        </w:tc>
        <w:tc>
          <w:tcPr>
            <w:tcW w:type="dxa" w:w="737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Единый сельскохозяйственный налог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4 240,4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4 663,6</w:t>
            </w:r>
          </w:p>
        </w:tc>
        <w:tc>
          <w:tcPr>
            <w:tcW w:type="dxa" w:w="130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5 083,3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0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 xml:space="preserve">1 05 03010 01 0000 110 </w:t>
            </w:r>
          </w:p>
        </w:tc>
        <w:tc>
          <w:tcPr>
            <w:tcW w:type="dxa" w:w="737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Единый сельскохозяйственный налог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4 240,4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4 663,6</w:t>
            </w:r>
          </w:p>
        </w:tc>
        <w:tc>
          <w:tcPr>
            <w:tcW w:type="dxa" w:w="130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5 083,3</w:t>
            </w:r>
          </w:p>
        </w:tc>
      </w:tr>
      <w:tr>
        <w:trPr>
          <w:trHeight w:hRule="atLeast" w:val="606"/>
        </w:trPr>
        <w:tc>
          <w:tcPr>
            <w:tcW w:type="dxa" w:w="297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0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 xml:space="preserve">1 06 00000 00 0000 000 </w:t>
            </w:r>
          </w:p>
        </w:tc>
        <w:tc>
          <w:tcPr>
            <w:tcW w:type="dxa" w:w="737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НАЛОГИ НА ИМУЩЕСТВО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12 566,1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12 862</w:t>
            </w:r>
            <w:r>
              <w:rPr>
                <w:spacing w:val="-12"/>
                <w:sz w:val="26"/>
              </w:rPr>
              <w:t>,6</w:t>
            </w:r>
          </w:p>
          <w:p w14:paraId="49000000">
            <w:pPr>
              <w:ind/>
              <w:jc w:val="right"/>
              <w:rPr>
                <w:spacing w:val="-12"/>
                <w:sz w:val="26"/>
              </w:rPr>
            </w:pPr>
          </w:p>
        </w:tc>
        <w:tc>
          <w:tcPr>
            <w:tcW w:type="dxa" w:w="130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13 862,6</w:t>
            </w:r>
          </w:p>
          <w:p w14:paraId="4B000000">
            <w:pPr>
              <w:ind/>
              <w:jc w:val="right"/>
              <w:rPr>
                <w:spacing w:val="-12"/>
                <w:sz w:val="26"/>
              </w:rPr>
            </w:pPr>
          </w:p>
        </w:tc>
      </w:tr>
      <w:tr>
        <w:trPr>
          <w:trHeight w:hRule="atLeast" w:val="171"/>
        </w:trPr>
        <w:tc>
          <w:tcPr>
            <w:tcW w:type="dxa" w:w="297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00000">
            <w:pPr>
              <w:rPr>
                <w:sz w:val="26"/>
              </w:rPr>
            </w:pPr>
            <w:r>
              <w:rPr>
                <w:sz w:val="26"/>
              </w:rPr>
              <w:t xml:space="preserve">1 06 01000 00 0000 110 </w:t>
            </w:r>
          </w:p>
        </w:tc>
        <w:tc>
          <w:tcPr>
            <w:tcW w:type="dxa" w:w="737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Налог на имущество физических лиц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2 445,1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2 741,6</w:t>
            </w:r>
          </w:p>
        </w:tc>
        <w:tc>
          <w:tcPr>
            <w:tcW w:type="dxa" w:w="130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2 741,6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0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 xml:space="preserve">1 06 01030 10 0000 110 </w:t>
            </w:r>
          </w:p>
        </w:tc>
        <w:tc>
          <w:tcPr>
            <w:tcW w:type="dxa" w:w="737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2 445,1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2 741,6</w:t>
            </w:r>
          </w:p>
        </w:tc>
        <w:tc>
          <w:tcPr>
            <w:tcW w:type="dxa" w:w="130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2 741,6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0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 xml:space="preserve">1 06 06000 00 0000 110 </w:t>
            </w:r>
          </w:p>
        </w:tc>
        <w:tc>
          <w:tcPr>
            <w:tcW w:type="dxa" w:w="737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Земельный налог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10 121,0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10 121,0</w:t>
            </w:r>
          </w:p>
        </w:tc>
        <w:tc>
          <w:tcPr>
            <w:tcW w:type="dxa" w:w="130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10 121,0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0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 xml:space="preserve">1 06 06030 00 0000 110 </w:t>
            </w:r>
          </w:p>
        </w:tc>
        <w:tc>
          <w:tcPr>
            <w:tcW w:type="dxa" w:w="737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Земельный налог с организаций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3 638,0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3 638,0</w:t>
            </w:r>
          </w:p>
        </w:tc>
        <w:tc>
          <w:tcPr>
            <w:tcW w:type="dxa" w:w="130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3 638,0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0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 xml:space="preserve">1 06 06033 10 0000 110 </w:t>
            </w:r>
          </w:p>
        </w:tc>
        <w:tc>
          <w:tcPr>
            <w:tcW w:type="dxa" w:w="737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 xml:space="preserve">Земельный налог с организаций, обладающих земельным </w:t>
            </w:r>
            <w:r>
              <w:rPr>
                <w:sz w:val="26"/>
              </w:rPr>
              <w:t>участком, расположенным в границах сельских поселений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3 638,0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3 638,0</w:t>
            </w:r>
          </w:p>
        </w:tc>
        <w:tc>
          <w:tcPr>
            <w:tcW w:type="dxa" w:w="130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3 638,0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0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 xml:space="preserve">1 06 06040 00 0000 110 </w:t>
            </w:r>
          </w:p>
        </w:tc>
        <w:tc>
          <w:tcPr>
            <w:tcW w:type="dxa" w:w="737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Земельный налог с физических лиц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6 483,0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6 483,0</w:t>
            </w:r>
          </w:p>
        </w:tc>
        <w:tc>
          <w:tcPr>
            <w:tcW w:type="dxa" w:w="130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6 483</w:t>
            </w:r>
            <w:r>
              <w:rPr>
                <w:spacing w:val="-12"/>
                <w:sz w:val="26"/>
              </w:rPr>
              <w:t>,0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0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 xml:space="preserve">1 06 06043 10 0000 110 </w:t>
            </w:r>
          </w:p>
        </w:tc>
        <w:tc>
          <w:tcPr>
            <w:tcW w:type="dxa" w:w="737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6 483,0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6 483,0</w:t>
            </w:r>
          </w:p>
        </w:tc>
        <w:tc>
          <w:tcPr>
            <w:tcW w:type="dxa" w:w="130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6 483</w:t>
            </w:r>
            <w:r>
              <w:rPr>
                <w:spacing w:val="-12"/>
                <w:sz w:val="26"/>
              </w:rPr>
              <w:t>0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0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 xml:space="preserve">1 11 00000 00 0000 000 </w:t>
            </w:r>
          </w:p>
        </w:tc>
        <w:tc>
          <w:tcPr>
            <w:tcW w:type="dxa" w:w="737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802,6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834,7</w:t>
            </w:r>
          </w:p>
        </w:tc>
        <w:tc>
          <w:tcPr>
            <w:tcW w:type="dxa" w:w="130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868,1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0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 xml:space="preserve">1 11 05000 00 0000 120 </w:t>
            </w:r>
          </w:p>
        </w:tc>
        <w:tc>
          <w:tcPr>
            <w:tcW w:type="dxa" w:w="737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453,7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471</w:t>
            </w:r>
            <w:r>
              <w:rPr>
                <w:spacing w:val="-12"/>
                <w:sz w:val="26"/>
              </w:rPr>
              <w:t>,9</w:t>
            </w:r>
          </w:p>
        </w:tc>
        <w:tc>
          <w:tcPr>
            <w:tcW w:type="dxa" w:w="130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490,7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0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 xml:space="preserve">1 11 05020 00 0000 120 </w:t>
            </w:r>
          </w:p>
        </w:tc>
        <w:tc>
          <w:tcPr>
            <w:tcW w:type="dxa" w:w="737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453,7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471</w:t>
            </w:r>
            <w:r>
              <w:rPr>
                <w:spacing w:val="-12"/>
                <w:sz w:val="26"/>
              </w:rPr>
              <w:t>,9</w:t>
            </w:r>
          </w:p>
        </w:tc>
        <w:tc>
          <w:tcPr>
            <w:tcW w:type="dxa" w:w="130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490,7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0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1 11 05025 10 0000 120</w:t>
            </w:r>
          </w:p>
          <w:p w14:paraId="7F000000">
            <w:pPr>
              <w:ind/>
              <w:jc w:val="center"/>
              <w:rPr>
                <w:sz w:val="26"/>
              </w:rPr>
            </w:pPr>
          </w:p>
        </w:tc>
        <w:tc>
          <w:tcPr>
            <w:tcW w:type="dxa" w:w="737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453,7</w:t>
            </w:r>
          </w:p>
          <w:p w14:paraId="82000000">
            <w:pPr>
              <w:ind/>
              <w:jc w:val="right"/>
              <w:rPr>
                <w:spacing w:val="-12"/>
                <w:sz w:val="26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471</w:t>
            </w:r>
            <w:r>
              <w:rPr>
                <w:spacing w:val="-12"/>
                <w:sz w:val="26"/>
              </w:rPr>
              <w:t>,9</w:t>
            </w:r>
          </w:p>
        </w:tc>
        <w:tc>
          <w:tcPr>
            <w:tcW w:type="dxa" w:w="130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490,7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0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1 11 09000 00 0000 120</w:t>
            </w:r>
          </w:p>
        </w:tc>
        <w:tc>
          <w:tcPr>
            <w:tcW w:type="dxa" w:w="737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tbl>
            <w:tblPr>
              <w:tblStyle w:val="Style_3"/>
              <w:tblLayout w:type="fixed"/>
              <w:tblCellMar>
                <w:top w:type="dxa" w:w="102"/>
                <w:left w:type="dxa" w:w="62"/>
                <w:bottom w:type="dxa" w:w="102"/>
                <w:right w:type="dxa" w:w="62"/>
              </w:tblCellMar>
            </w:tblPr>
            <w:tblGrid>
              <w:gridCol w:w="7262"/>
            </w:tblGrid>
            <w:tr>
              <w:tc>
                <w:tcPr>
                  <w:tcW w:type="dxa" w:w="7262"/>
                  <w:tcMar>
                    <w:top w:type="dxa" w:w="102"/>
                    <w:left w:type="dxa" w:w="62"/>
                    <w:bottom w:type="dxa" w:w="102"/>
                    <w:right w:type="dxa" w:w="62"/>
                  </w:tcMar>
                </w:tcPr>
                <w:p w14:paraId="86000000">
                  <w:pPr>
                    <w:ind/>
                    <w:jc w:val="both"/>
                    <w:rPr>
                      <w:sz w:val="26"/>
                    </w:rPr>
                  </w:pPr>
                  <w:r>
                    <w:rPr>
                      <w:sz w:val="26"/>
                    </w:rPr>
      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</w:tr>
          </w:tbl>
          <w:p w14:paraId="87000000">
            <w:pPr>
              <w:ind/>
              <w:jc w:val="both"/>
              <w:rPr>
                <w:sz w:val="26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348,9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362,8</w:t>
            </w:r>
          </w:p>
        </w:tc>
        <w:tc>
          <w:tcPr>
            <w:tcW w:type="dxa" w:w="130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377,4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1 11 09080 00 0000 120</w:t>
            </w:r>
          </w:p>
        </w:tc>
        <w:tc>
          <w:tcPr>
            <w:tcW w:type="dxa" w:w="737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</w:t>
            </w:r>
            <w:r>
              <w:rPr>
                <w:sz w:val="26"/>
              </w:rPr>
              <w:t>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348,9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362,8</w:t>
            </w:r>
          </w:p>
        </w:tc>
        <w:tc>
          <w:tcPr>
            <w:tcW w:type="dxa" w:w="130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377,4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1 11 09080 10 0000 120</w:t>
            </w:r>
          </w:p>
        </w:tc>
        <w:tc>
          <w:tcPr>
            <w:tcW w:type="dxa" w:w="737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348,9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362,8</w:t>
            </w:r>
          </w:p>
        </w:tc>
        <w:tc>
          <w:tcPr>
            <w:tcW w:type="dxa" w:w="130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377,4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0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 xml:space="preserve">1 16 00000 00 0000 000 </w:t>
            </w:r>
          </w:p>
        </w:tc>
        <w:tc>
          <w:tcPr>
            <w:tcW w:type="dxa" w:w="737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ШТРАФЫ, САНКЦИИ, ВОЗМЕЩЕНИЕ УЩЕРБА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1,0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1,1</w:t>
            </w:r>
          </w:p>
        </w:tc>
        <w:tc>
          <w:tcPr>
            <w:tcW w:type="dxa" w:w="130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1,1</w:t>
            </w:r>
          </w:p>
          <w:p w14:paraId="9A000000">
            <w:pPr>
              <w:ind/>
              <w:jc w:val="right"/>
              <w:rPr>
                <w:spacing w:val="-12"/>
                <w:sz w:val="26"/>
              </w:rPr>
            </w:pP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0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 xml:space="preserve">1 16 02000 02 0000 140 </w:t>
            </w:r>
          </w:p>
        </w:tc>
        <w:tc>
          <w:tcPr>
            <w:tcW w:type="dxa" w:w="737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 xml:space="preserve">Административные штрафы, установленные законами субъектов Российской Федерации об административных правонарушениях 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1,0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1,1</w:t>
            </w:r>
          </w:p>
        </w:tc>
        <w:tc>
          <w:tcPr>
            <w:tcW w:type="dxa" w:w="130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1,1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0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 xml:space="preserve">1 16 02020 02 0000 140 </w:t>
            </w:r>
          </w:p>
        </w:tc>
        <w:tc>
          <w:tcPr>
            <w:tcW w:type="dxa" w:w="737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1,0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1,1</w:t>
            </w:r>
          </w:p>
        </w:tc>
        <w:tc>
          <w:tcPr>
            <w:tcW w:type="dxa" w:w="130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1,1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0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 xml:space="preserve">2 00 00000 00 0000 000 </w:t>
            </w:r>
          </w:p>
        </w:tc>
        <w:tc>
          <w:tcPr>
            <w:tcW w:type="dxa" w:w="737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БЕЗВОЗМЕЗДНЫЕ ПОСТУПЛЕНИЯ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4995,4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4 374,5</w:t>
            </w:r>
          </w:p>
        </w:tc>
        <w:tc>
          <w:tcPr>
            <w:tcW w:type="dxa" w:w="130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3 025,0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0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 xml:space="preserve">2 02 00000 00 0000 000 </w:t>
            </w:r>
          </w:p>
        </w:tc>
        <w:tc>
          <w:tcPr>
            <w:tcW w:type="dxa" w:w="737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4995,4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4 374,5</w:t>
            </w:r>
          </w:p>
        </w:tc>
        <w:tc>
          <w:tcPr>
            <w:tcW w:type="dxa" w:w="130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3 025,0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0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 xml:space="preserve">2 02 10000 00 0000 150 </w:t>
            </w:r>
          </w:p>
        </w:tc>
        <w:tc>
          <w:tcPr>
            <w:tcW w:type="dxa" w:w="737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Дотации бюджетам бюджетной системы Российской Федерации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4995,2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4 374,</w:t>
            </w:r>
            <w:r>
              <w:rPr>
                <w:spacing w:val="-12"/>
                <w:sz w:val="26"/>
              </w:rPr>
              <w:t>3</w:t>
            </w:r>
          </w:p>
        </w:tc>
        <w:tc>
          <w:tcPr>
            <w:tcW w:type="dxa" w:w="130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3 024,8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0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2 02 15001 00 0000 150</w:t>
            </w:r>
          </w:p>
        </w:tc>
        <w:tc>
          <w:tcPr>
            <w:tcW w:type="dxa" w:w="737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Дотации на выравнивание бюджетной обеспеченности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4860,3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4 374,3</w:t>
            </w:r>
          </w:p>
        </w:tc>
        <w:tc>
          <w:tcPr>
            <w:tcW w:type="dxa" w:w="130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3 024,8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0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2 02 15001 10 0000 150</w:t>
            </w:r>
          </w:p>
        </w:tc>
        <w:tc>
          <w:tcPr>
            <w:tcW w:type="dxa" w:w="737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4860,3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4 374,3</w:t>
            </w:r>
          </w:p>
        </w:tc>
        <w:tc>
          <w:tcPr>
            <w:tcW w:type="dxa" w:w="130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3 024,8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0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2 02 15002 00 0000 150</w:t>
            </w:r>
          </w:p>
        </w:tc>
        <w:tc>
          <w:tcPr>
            <w:tcW w:type="dxa" w:w="737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134,9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0,0</w:t>
            </w:r>
          </w:p>
          <w:p w14:paraId="C2000000">
            <w:pPr>
              <w:ind/>
              <w:jc w:val="right"/>
              <w:rPr>
                <w:spacing w:val="-12"/>
                <w:sz w:val="26"/>
              </w:rPr>
            </w:pPr>
          </w:p>
        </w:tc>
        <w:tc>
          <w:tcPr>
            <w:tcW w:type="dxa" w:w="130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0,0</w:t>
            </w:r>
          </w:p>
          <w:p w14:paraId="C4000000">
            <w:pPr>
              <w:ind/>
              <w:jc w:val="right"/>
              <w:rPr>
                <w:spacing w:val="-12"/>
                <w:sz w:val="26"/>
              </w:rPr>
            </w:pP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0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202 15002 10 0000 150</w:t>
            </w:r>
          </w:p>
        </w:tc>
        <w:tc>
          <w:tcPr>
            <w:tcW w:type="dxa" w:w="737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134,9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0,0</w:t>
            </w:r>
          </w:p>
        </w:tc>
        <w:tc>
          <w:tcPr>
            <w:tcW w:type="dxa" w:w="130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0,0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0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 xml:space="preserve">2 02 30000 00 0000 150 </w:t>
            </w:r>
          </w:p>
        </w:tc>
        <w:tc>
          <w:tcPr>
            <w:tcW w:type="dxa" w:w="737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Субвенции бюджетам бюджетной системы Российской Федерации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0,2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0,2</w:t>
            </w:r>
          </w:p>
        </w:tc>
        <w:tc>
          <w:tcPr>
            <w:tcW w:type="dxa" w:w="130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0,2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0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 xml:space="preserve">2 02 30024 00 0000 150 </w:t>
            </w:r>
          </w:p>
        </w:tc>
        <w:tc>
          <w:tcPr>
            <w:tcW w:type="dxa" w:w="737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0,2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0,2</w:t>
            </w:r>
          </w:p>
        </w:tc>
        <w:tc>
          <w:tcPr>
            <w:tcW w:type="dxa" w:w="130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0,2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0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2 02 30024 10 0000 150</w:t>
            </w:r>
          </w:p>
        </w:tc>
        <w:tc>
          <w:tcPr>
            <w:tcW w:type="dxa" w:w="737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0,2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0,2</w:t>
            </w:r>
          </w:p>
        </w:tc>
        <w:tc>
          <w:tcPr>
            <w:tcW w:type="dxa" w:w="130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00000">
            <w:pPr>
              <w:ind/>
              <w:jc w:val="right"/>
              <w:rPr>
                <w:spacing w:val="-12"/>
                <w:sz w:val="26"/>
              </w:rPr>
            </w:pPr>
            <w:r>
              <w:rPr>
                <w:spacing w:val="-12"/>
                <w:sz w:val="26"/>
              </w:rPr>
              <w:t>0,2</w:t>
            </w: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00000">
            <w:pPr>
              <w:rPr>
                <w:sz w:val="26"/>
              </w:rPr>
            </w:pPr>
          </w:p>
        </w:tc>
        <w:tc>
          <w:tcPr>
            <w:tcW w:type="dxa" w:w="737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00000">
            <w:pPr>
              <w:ind/>
              <w:jc w:val="both"/>
              <w:rPr>
                <w:sz w:val="26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00000">
            <w:pPr>
              <w:ind/>
              <w:jc w:val="right"/>
              <w:rPr>
                <w:spacing w:val="-12"/>
                <w:sz w:val="26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00000">
            <w:pPr>
              <w:ind/>
              <w:jc w:val="right"/>
              <w:rPr>
                <w:spacing w:val="-12"/>
                <w:sz w:val="26"/>
              </w:rPr>
            </w:pPr>
          </w:p>
        </w:tc>
        <w:tc>
          <w:tcPr>
            <w:tcW w:type="dxa" w:w="130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00000">
            <w:pPr>
              <w:ind/>
              <w:jc w:val="right"/>
              <w:rPr>
                <w:spacing w:val="-12"/>
                <w:sz w:val="26"/>
              </w:rPr>
            </w:pP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00000">
            <w:pPr>
              <w:ind/>
              <w:jc w:val="center"/>
              <w:rPr>
                <w:sz w:val="26"/>
              </w:rPr>
            </w:pPr>
          </w:p>
        </w:tc>
        <w:tc>
          <w:tcPr>
            <w:tcW w:type="dxa" w:w="737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00000">
            <w:pPr>
              <w:ind/>
              <w:jc w:val="both"/>
              <w:rPr>
                <w:sz w:val="26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00000">
            <w:pPr>
              <w:ind/>
              <w:jc w:val="right"/>
              <w:rPr>
                <w:spacing w:val="-12"/>
                <w:sz w:val="26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00000">
            <w:pPr>
              <w:ind/>
              <w:jc w:val="right"/>
              <w:rPr>
                <w:spacing w:val="-12"/>
                <w:sz w:val="26"/>
              </w:rPr>
            </w:pPr>
          </w:p>
        </w:tc>
        <w:tc>
          <w:tcPr>
            <w:tcW w:type="dxa" w:w="130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00000">
            <w:pPr>
              <w:ind/>
              <w:jc w:val="right"/>
              <w:rPr>
                <w:spacing w:val="-12"/>
                <w:sz w:val="26"/>
              </w:rPr>
            </w:pPr>
          </w:p>
        </w:tc>
      </w:tr>
      <w:tr>
        <w:trPr>
          <w:trHeight w:hRule="atLeast" w:val="405"/>
        </w:trPr>
        <w:tc>
          <w:tcPr>
            <w:tcW w:type="dxa" w:w="297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00000">
            <w:pPr>
              <w:ind/>
              <w:jc w:val="center"/>
              <w:rPr>
                <w:sz w:val="26"/>
              </w:rPr>
            </w:pPr>
          </w:p>
        </w:tc>
        <w:tc>
          <w:tcPr>
            <w:tcW w:type="dxa" w:w="737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00000">
            <w:pPr>
              <w:ind/>
              <w:jc w:val="both"/>
              <w:rPr>
                <w:sz w:val="26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00000">
            <w:pPr>
              <w:ind/>
              <w:jc w:val="right"/>
              <w:rPr>
                <w:spacing w:val="-12"/>
                <w:sz w:val="26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00000">
            <w:pPr>
              <w:ind/>
              <w:jc w:val="right"/>
              <w:rPr>
                <w:spacing w:val="-12"/>
                <w:sz w:val="26"/>
              </w:rPr>
            </w:pPr>
          </w:p>
        </w:tc>
        <w:tc>
          <w:tcPr>
            <w:tcW w:type="dxa" w:w="130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00000">
            <w:pPr>
              <w:ind/>
              <w:jc w:val="right"/>
              <w:rPr>
                <w:spacing w:val="-12"/>
                <w:sz w:val="26"/>
              </w:rPr>
            </w:pPr>
          </w:p>
        </w:tc>
      </w:tr>
    </w:tbl>
    <w:p w14:paraId="E8000000">
      <w:pPr>
        <w:ind w:firstLine="0" w:left="-709"/>
        <w:jc w:val="both"/>
        <w:rPr>
          <w:sz w:val="28"/>
        </w:rPr>
      </w:pPr>
    </w:p>
    <w:sectPr>
      <w:headerReference r:id="rId1" w:type="default"/>
      <w:footerReference r:id="rId2" w:type="default"/>
      <w:pgSz w:h="11906" w:orient="landscape" w:w="16838"/>
      <w:pgMar w:bottom="851" w:footer="709" w:gutter="0" w:header="709" w:left="1702" w:right="395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 w:right="360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ConsPlusNonformat"/>
    <w:link w:val="Style_5_ch"/>
    <w:pPr>
      <w:widowControl w:val="0"/>
      <w:ind/>
    </w:pPr>
    <w:rPr>
      <w:rFonts w:ascii="Courier New" w:hAnsi="Courier New"/>
    </w:rPr>
  </w:style>
  <w:style w:styleId="Style_5_ch" w:type="character">
    <w:name w:val="ConsPlusNonformat"/>
    <w:link w:val="Style_5"/>
    <w:rPr>
      <w:rFonts w:ascii="Courier New" w:hAnsi="Courier New"/>
    </w:rPr>
  </w:style>
  <w:style w:styleId="Style_6" w:type="paragraph">
    <w:name w:val="toc 2"/>
    <w:next w:val="Style_4"/>
    <w:link w:val="Style_6_ch"/>
    <w:uiPriority w:val="39"/>
    <w:pPr>
      <w:ind w:firstLine="0"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4"/>
    <w:link w:val="Style_7_ch"/>
    <w:uiPriority w:val="39"/>
    <w:pPr>
      <w:ind w:firstLine="0"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4"/>
    <w:link w:val="Style_8_ch"/>
    <w:uiPriority w:val="39"/>
    <w:pPr>
      <w:ind w:firstLine="0"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heading 3"/>
    <w:basedOn w:val="Style_4"/>
    <w:next w:val="Style_4"/>
    <w:link w:val="Style_11_ch"/>
    <w:uiPriority w:val="9"/>
    <w:qFormat/>
    <w:pPr>
      <w:keepNext w:val="1"/>
      <w:spacing w:after="60" w:before="240"/>
      <w:ind/>
      <w:outlineLvl w:val="2"/>
    </w:pPr>
    <w:rPr>
      <w:rFonts w:ascii="Cambria" w:hAnsi="Cambria"/>
      <w:b w:val="1"/>
      <w:sz w:val="26"/>
    </w:rPr>
  </w:style>
  <w:style w:styleId="Style_11_ch" w:type="character">
    <w:name w:val="heading 3"/>
    <w:basedOn w:val="Style_4_ch"/>
    <w:link w:val="Style_11"/>
    <w:rPr>
      <w:rFonts w:ascii="Cambria" w:hAnsi="Cambria"/>
      <w:b w:val="1"/>
      <w:sz w:val="26"/>
    </w:rPr>
  </w:style>
  <w:style w:styleId="Style_12" w:type="paragraph">
    <w:name w:val="Обычный1"/>
    <w:link w:val="Style_12_ch"/>
    <w:rPr>
      <w:sz w:val="24"/>
    </w:rPr>
  </w:style>
  <w:style w:styleId="Style_12_ch" w:type="character">
    <w:name w:val="Обычный1"/>
    <w:link w:val="Style_12"/>
    <w:rPr>
      <w:sz w:val="24"/>
    </w:rPr>
  </w:style>
  <w:style w:styleId="Style_13" w:type="paragraph">
    <w:name w:val="Номер страницы1"/>
    <w:basedOn w:val="Style_14"/>
    <w:link w:val="Style_13_ch"/>
  </w:style>
  <w:style w:styleId="Style_13_ch" w:type="character">
    <w:name w:val="Номер страницы1"/>
    <w:basedOn w:val="Style_14_ch"/>
    <w:link w:val="Style_13"/>
  </w:style>
  <w:style w:styleId="Style_15" w:type="paragraph">
    <w:name w:val="toc 3"/>
    <w:next w:val="Style_4"/>
    <w:link w:val="Style_15_ch"/>
    <w:uiPriority w:val="39"/>
    <w:pPr>
      <w:ind w:firstLine="0" w:left="400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ConsPlusTitle"/>
    <w:link w:val="Style_16_ch"/>
    <w:pPr>
      <w:widowControl w:val="0"/>
      <w:ind/>
    </w:pPr>
    <w:rPr>
      <w:b w:val="1"/>
      <w:sz w:val="24"/>
    </w:rPr>
  </w:style>
  <w:style w:styleId="Style_16_ch" w:type="character">
    <w:name w:val="ConsPlusTitle"/>
    <w:link w:val="Style_16"/>
    <w:rPr>
      <w:b w:val="1"/>
      <w:sz w:val="24"/>
    </w:rPr>
  </w:style>
  <w:style w:styleId="Style_17" w:type="paragraph">
    <w:name w:val="Основной шрифт абзаца2"/>
    <w:link w:val="Style_17_ch"/>
  </w:style>
  <w:style w:styleId="Style_17_ch" w:type="character">
    <w:name w:val="Основной шрифт абзаца2"/>
    <w:link w:val="Style_17"/>
  </w:style>
  <w:style w:styleId="Style_18" w:type="paragraph">
    <w:name w:val="heading 5"/>
    <w:next w:val="Style_4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8_ch" w:type="character">
    <w:name w:val="heading 5"/>
    <w:link w:val="Style_18"/>
    <w:rPr>
      <w:rFonts w:ascii="XO Thames" w:hAnsi="XO Thames"/>
      <w:b w:val="1"/>
      <w:sz w:val="22"/>
    </w:rPr>
  </w:style>
  <w:style w:styleId="Style_19" w:type="paragraph">
    <w:name w:val="heading 1"/>
    <w:basedOn w:val="Style_4"/>
    <w:next w:val="Style_4"/>
    <w:link w:val="Style_19_ch"/>
    <w:uiPriority w:val="9"/>
    <w:qFormat/>
    <w:pPr>
      <w:keepNext w:val="1"/>
      <w:ind/>
      <w:outlineLvl w:val="0"/>
    </w:pPr>
    <w:rPr>
      <w:b w:val="1"/>
    </w:rPr>
  </w:style>
  <w:style w:styleId="Style_19_ch" w:type="character">
    <w:name w:val="heading 1"/>
    <w:basedOn w:val="Style_4_ch"/>
    <w:link w:val="Style_19"/>
    <w:rPr>
      <w:b w:val="1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4"/>
    <w:link w:val="Style_22_ch"/>
    <w:uiPriority w:val="39"/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4_ch"/>
    <w:link w:val="Style_2"/>
  </w:style>
  <w:style w:styleId="Style_23" w:type="paragraph">
    <w:name w:val="No Spacing"/>
    <w:link w:val="Style_23_ch"/>
    <w:rPr>
      <w:sz w:val="24"/>
    </w:rPr>
  </w:style>
  <w:style w:styleId="Style_23_ch" w:type="character">
    <w:name w:val="No Spacing"/>
    <w:link w:val="Style_23"/>
    <w:rPr>
      <w:sz w:val="24"/>
    </w:rPr>
  </w:style>
  <w:style w:styleId="Style_24" w:type="paragraph">
    <w:name w:val="Header and Footer"/>
    <w:link w:val="Style_24_ch"/>
    <w:pPr>
      <w:ind/>
      <w:jc w:val="both"/>
    </w:pPr>
    <w:rPr>
      <w:rFonts w:ascii="XO Thames" w:hAnsi="XO Thames"/>
    </w:rPr>
  </w:style>
  <w:style w:styleId="Style_24_ch" w:type="character">
    <w:name w:val="Header and Footer"/>
    <w:link w:val="Style_24"/>
    <w:rPr>
      <w:rFonts w:ascii="XO Thames" w:hAnsi="XO Thames"/>
    </w:rPr>
  </w:style>
  <w:style w:styleId="Style_14" w:type="paragraph">
    <w:name w:val="Основной шрифт абзаца1"/>
    <w:link w:val="Style_14_ch"/>
  </w:style>
  <w:style w:styleId="Style_14_ch" w:type="character">
    <w:name w:val="Основной шрифт абзаца1"/>
    <w:link w:val="Style_14"/>
  </w:style>
  <w:style w:styleId="Style_25" w:type="paragraph">
    <w:name w:val="Balloon Text"/>
    <w:basedOn w:val="Style_4"/>
    <w:link w:val="Style_25_ch"/>
    <w:rPr>
      <w:rFonts w:ascii="Tahoma" w:hAnsi="Tahoma"/>
      <w:sz w:val="16"/>
    </w:rPr>
  </w:style>
  <w:style w:styleId="Style_25_ch" w:type="character">
    <w:name w:val="Balloon Text"/>
    <w:basedOn w:val="Style_4_ch"/>
    <w:link w:val="Style_25"/>
    <w:rPr>
      <w:rFonts w:ascii="Tahoma" w:hAnsi="Tahoma"/>
      <w:sz w:val="16"/>
    </w:rPr>
  </w:style>
  <w:style w:styleId="Style_26" w:type="paragraph">
    <w:name w:val="toc 9"/>
    <w:next w:val="Style_4"/>
    <w:link w:val="Style_26_ch"/>
    <w:uiPriority w:val="39"/>
    <w:pPr>
      <w:ind w:firstLine="0" w:left="1600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Обычный1"/>
    <w:link w:val="Style_27_ch"/>
    <w:rPr>
      <w:sz w:val="24"/>
    </w:rPr>
  </w:style>
  <w:style w:styleId="Style_27_ch" w:type="character">
    <w:name w:val="Обычный1"/>
    <w:link w:val="Style_27"/>
    <w:rPr>
      <w:sz w:val="24"/>
    </w:rPr>
  </w:style>
  <w:style w:styleId="Style_28" w:type="paragraph">
    <w:name w:val="toc 8"/>
    <w:next w:val="Style_4"/>
    <w:link w:val="Style_28_ch"/>
    <w:uiPriority w:val="39"/>
    <w:pPr>
      <w:ind w:firstLine="0" w:left="1400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29" w:type="paragraph">
    <w:name w:val="ConsPlusNormal"/>
    <w:link w:val="Style_29_ch"/>
    <w:pPr>
      <w:ind w:firstLine="720" w:left="0"/>
    </w:pPr>
    <w:rPr>
      <w:rFonts w:ascii="Arial" w:hAnsi="Arial"/>
    </w:rPr>
  </w:style>
  <w:style w:styleId="Style_29_ch" w:type="character">
    <w:name w:val="ConsPlusNormal"/>
    <w:link w:val="Style_29"/>
    <w:rPr>
      <w:rFonts w:ascii="Arial" w:hAnsi="Arial"/>
    </w:rPr>
  </w:style>
  <w:style w:styleId="Style_30" w:type="paragraph">
    <w:name w:val="Гиперссылка2"/>
    <w:link w:val="Style_30_ch"/>
    <w:rPr>
      <w:color w:val="0000FF"/>
      <w:u w:val="single"/>
    </w:rPr>
  </w:style>
  <w:style w:styleId="Style_30_ch" w:type="character">
    <w:name w:val="Гиперссылка2"/>
    <w:link w:val="Style_30"/>
    <w:rPr>
      <w:color w:val="0000FF"/>
      <w:u w:val="single"/>
    </w:rPr>
  </w:style>
  <w:style w:styleId="Style_31" w:type="paragraph">
    <w:name w:val="toc 5"/>
    <w:next w:val="Style_4"/>
    <w:link w:val="Style_31_ch"/>
    <w:uiPriority w:val="39"/>
    <w:pPr>
      <w:ind w:firstLine="0" w:left="800"/>
    </w:pPr>
    <w:rPr>
      <w:rFonts w:ascii="XO Thames" w:hAnsi="XO Thames"/>
      <w:sz w:val="28"/>
    </w:rPr>
  </w:style>
  <w:style w:styleId="Style_31_ch" w:type="character">
    <w:name w:val="toc 5"/>
    <w:link w:val="Style_31"/>
    <w:rPr>
      <w:rFonts w:ascii="XO Thames" w:hAnsi="XO Thames"/>
      <w:sz w:val="28"/>
    </w:rPr>
  </w:style>
  <w:style w:styleId="Style_32" w:type="paragraph">
    <w:name w:val="Subtitle"/>
    <w:next w:val="Style_4"/>
    <w:link w:val="Style_3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Гиперссылка1"/>
    <w:link w:val="Style_33_ch"/>
    <w:rPr>
      <w:color w:val="0000FF"/>
      <w:u w:val="single"/>
    </w:rPr>
  </w:style>
  <w:style w:styleId="Style_33_ch" w:type="character">
    <w:name w:val="Гиперссылка1"/>
    <w:link w:val="Style_33"/>
    <w:rPr>
      <w:color w:val="0000FF"/>
      <w:u w:val="single"/>
    </w:rPr>
  </w:style>
  <w:style w:styleId="Style_34" w:type="paragraph">
    <w:name w:val="Title"/>
    <w:basedOn w:val="Style_4"/>
    <w:link w:val="Style_34_ch"/>
    <w:uiPriority w:val="10"/>
    <w:qFormat/>
    <w:pPr>
      <w:ind/>
      <w:jc w:val="center"/>
    </w:pPr>
    <w:rPr>
      <w:sz w:val="28"/>
    </w:rPr>
  </w:style>
  <w:style w:styleId="Style_34_ch" w:type="character">
    <w:name w:val="Title"/>
    <w:basedOn w:val="Style_4_ch"/>
    <w:link w:val="Style_34"/>
    <w:rPr>
      <w:sz w:val="28"/>
    </w:rPr>
  </w:style>
  <w:style w:styleId="Style_35" w:type="paragraph">
    <w:name w:val="heading 4"/>
    <w:next w:val="Style_4"/>
    <w:link w:val="Style_3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5_ch" w:type="character">
    <w:name w:val="heading 4"/>
    <w:link w:val="Style_35"/>
    <w:rPr>
      <w:rFonts w:ascii="XO Thames" w:hAnsi="XO Thames"/>
      <w:b w:val="1"/>
      <w:sz w:val="24"/>
    </w:rPr>
  </w:style>
  <w:style w:styleId="Style_36" w:type="paragraph">
    <w:name w:val="heading 2"/>
    <w:next w:val="Style_4"/>
    <w:link w:val="Style_3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styleId="Style_37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2024-11-07T11:40:04Z</dcterms:modified>
</cp:coreProperties>
</file>