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ind/>
        <w:jc w:val="right"/>
      </w:pPr>
    </w:p>
    <w:p w14:paraId="02000000">
      <w:pPr>
        <w:ind/>
        <w:jc w:val="right"/>
      </w:pPr>
    </w:p>
    <w:p w14:paraId="03000000">
      <w:pPr>
        <w:ind/>
        <w:jc w:val="right"/>
      </w:pPr>
    </w:p>
    <w:p w14:paraId="04000000">
      <w:pPr>
        <w:ind/>
        <w:jc w:val="right"/>
      </w:pPr>
    </w:p>
    <w:p w14:paraId="05000000">
      <w:pPr>
        <w:ind/>
        <w:jc w:val="right"/>
        <w:rPr>
          <w:sz w:val="28"/>
        </w:rPr>
      </w:pPr>
      <w:r>
        <w:rPr>
          <w:sz w:val="28"/>
        </w:rPr>
        <w:t>Приложение 7</w:t>
      </w:r>
    </w:p>
    <w:p w14:paraId="06000000">
      <w:pPr>
        <w:ind/>
        <w:jc w:val="right"/>
        <w:rPr>
          <w:sz w:val="28"/>
        </w:rPr>
      </w:pPr>
      <w:r>
        <w:rPr>
          <w:sz w:val="28"/>
        </w:rPr>
        <w:t>к   решению Собрания депутатов Покровского сельского поселения</w:t>
      </w:r>
    </w:p>
    <w:p w14:paraId="07000000">
      <w:pPr>
        <w:ind/>
        <w:jc w:val="right"/>
        <w:rPr>
          <w:sz w:val="28"/>
        </w:rPr>
      </w:pPr>
      <w:r>
        <w:rPr>
          <w:sz w:val="28"/>
        </w:rPr>
        <w:t xml:space="preserve">«О бюджете Покровского сельского поселения Неклиновского района» </w:t>
      </w:r>
    </w:p>
    <w:p w14:paraId="08000000">
      <w:pPr>
        <w:ind/>
        <w:jc w:val="right"/>
        <w:rPr>
          <w:sz w:val="28"/>
        </w:rPr>
      </w:pPr>
      <w:r>
        <w:rPr>
          <w:sz w:val="28"/>
        </w:rPr>
        <w:t>на 2025 год и на плановый период 2026 и 2027</w:t>
      </w:r>
      <w:r>
        <w:rPr>
          <w:sz w:val="28"/>
        </w:rPr>
        <w:t xml:space="preserve"> годов»</w:t>
      </w:r>
    </w:p>
    <w:p w14:paraId="09000000">
      <w:pPr>
        <w:ind/>
        <w:jc w:val="right"/>
        <w:rPr>
          <w:sz w:val="28"/>
        </w:rPr>
      </w:pPr>
      <w:r>
        <w:rPr>
          <w:sz w:val="28"/>
        </w:rPr>
        <w:t>.</w:t>
      </w:r>
    </w:p>
    <w:p w14:paraId="0A000000">
      <w:pPr>
        <w:rPr>
          <w:sz w:val="28"/>
        </w:rPr>
      </w:pPr>
    </w:p>
    <w:p w14:paraId="0B000000">
      <w:pPr>
        <w:ind/>
        <w:jc w:val="center"/>
        <w:rPr>
          <w:sz w:val="28"/>
        </w:rPr>
      </w:pPr>
      <w:r>
        <w:rPr>
          <w:sz w:val="28"/>
        </w:rPr>
        <w:t xml:space="preserve"> Иные межбюджетные трансферты, передаваемые в бюджет Неклиновского района из бюджета Покровского сельского поселения   на осуществление части полномочий по решению вопросов местного значения в соответствии с з</w:t>
      </w:r>
      <w:r>
        <w:rPr>
          <w:sz w:val="28"/>
        </w:rPr>
        <w:t>аключенными соглашениями на 2025 год и на плановый период 2026 и 2027</w:t>
      </w:r>
      <w:r>
        <w:rPr>
          <w:sz w:val="28"/>
        </w:rPr>
        <w:t xml:space="preserve"> годов</w:t>
      </w:r>
    </w:p>
    <w:p w14:paraId="0C000000">
      <w:pPr>
        <w:rPr>
          <w:sz w:val="28"/>
        </w:rPr>
      </w:pPr>
      <w:r>
        <w:t xml:space="preserve">       </w:t>
      </w:r>
    </w:p>
    <w:tbl>
      <w:tblPr>
        <w:tblStyle w:val="Style_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645"/>
        <w:gridCol w:w="8394"/>
        <w:gridCol w:w="1984"/>
        <w:gridCol w:w="1559"/>
        <w:gridCol w:w="1701"/>
      </w:tblGrid>
      <w:tr>
        <w:tc>
          <w:tcPr>
            <w:tcW w:type="dxa" w:w="64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D000000">
            <w:pPr>
              <w:rPr>
                <w:sz w:val="28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type="dxa" w:w="839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E000000">
            <w:pPr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</w:p>
        </w:tc>
        <w:tc>
          <w:tcPr>
            <w:tcW w:type="dxa" w:w="5244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z w:val="28"/>
              </w:rPr>
              <w:t>умма</w:t>
            </w:r>
            <w:r>
              <w:rPr>
                <w:sz w:val="28"/>
              </w:rPr>
              <w:t xml:space="preserve">      (тыс.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руб.)</w:t>
            </w:r>
          </w:p>
        </w:tc>
      </w:tr>
      <w:tr>
        <w:tc>
          <w:tcPr>
            <w:tcW w:type="dxa" w:w="64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839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0000000">
            <w:pPr>
              <w:rPr>
                <w:sz w:val="28"/>
              </w:rPr>
            </w:pPr>
            <w:r>
              <w:rPr>
                <w:sz w:val="28"/>
              </w:rPr>
              <w:t>2024г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1000000">
            <w:pPr>
              <w:rPr>
                <w:sz w:val="28"/>
              </w:rPr>
            </w:pPr>
            <w:r>
              <w:rPr>
                <w:sz w:val="28"/>
              </w:rPr>
              <w:t>2025</w:t>
            </w:r>
            <w:r>
              <w:rPr>
                <w:sz w:val="28"/>
              </w:rPr>
              <w:t>г.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000000">
            <w:pPr>
              <w:rPr>
                <w:sz w:val="28"/>
              </w:rPr>
            </w:pPr>
            <w:r>
              <w:rPr>
                <w:sz w:val="28"/>
              </w:rPr>
              <w:t>2026</w:t>
            </w:r>
            <w:r>
              <w:rPr>
                <w:sz w:val="28"/>
              </w:rPr>
              <w:t>г.</w:t>
            </w:r>
          </w:p>
        </w:tc>
      </w:tr>
      <w:tr>
        <w:tc>
          <w:tcPr>
            <w:tcW w:type="dxa" w:w="903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3000000">
            <w:pPr>
              <w:ind/>
              <w:jc w:val="both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Передано полномочий Неклиновскому району – всего: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4000000">
            <w:pPr>
              <w:rPr>
                <w:sz w:val="28"/>
              </w:rPr>
            </w:pPr>
            <w:r>
              <w:rPr>
                <w:sz w:val="28"/>
              </w:rPr>
              <w:t>312,5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5000000">
            <w:pPr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6000000">
            <w:pPr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</w:tr>
      <w:tr>
        <w:tc>
          <w:tcPr>
            <w:tcW w:type="dxa" w:w="6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7000000">
            <w:pPr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type="dxa" w:w="83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8000000">
            <w:pPr>
              <w:rPr>
                <w:sz w:val="28"/>
              </w:rPr>
            </w:pPr>
            <w:r>
              <w:rPr>
                <w:sz w:val="28"/>
              </w:rPr>
              <w:t>на частичную передачу полномочий по утверждению в областных структурах лимитов потребления топливно-энергетических ресурсов и уличного освещения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9000000">
            <w:pPr>
              <w:rPr>
                <w:sz w:val="28"/>
              </w:rPr>
            </w:pPr>
            <w:r>
              <w:rPr>
                <w:sz w:val="28"/>
              </w:rPr>
              <w:t>18,9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A000000">
            <w:pPr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B000000">
            <w:pPr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</w:tr>
      <w:tr>
        <w:tc>
          <w:tcPr>
            <w:tcW w:type="dxa" w:w="6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C000000">
            <w:pPr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type="dxa" w:w="83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D000000">
            <w:pPr>
              <w:rPr>
                <w:sz w:val="28"/>
              </w:rPr>
            </w:pPr>
            <w:r>
              <w:rPr>
                <w:sz w:val="28"/>
              </w:rPr>
              <w:t>на передачу полномочий на исполнение внешнего финансового контроля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E000000">
            <w:pPr>
              <w:rPr>
                <w:sz w:val="28"/>
              </w:rPr>
            </w:pPr>
            <w:r>
              <w:rPr>
                <w:sz w:val="28"/>
              </w:rPr>
              <w:t>152,2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F000000">
            <w:pPr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0000000">
            <w:pPr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</w:tr>
      <w:tr>
        <w:tc>
          <w:tcPr>
            <w:tcW w:type="dxa" w:w="6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1000000">
            <w:pPr>
              <w:rPr>
                <w:sz w:val="28"/>
              </w:rPr>
            </w:pPr>
          </w:p>
          <w:p w14:paraId="22000000">
            <w:pPr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type="dxa" w:w="83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3000000">
            <w:pPr>
              <w:rPr>
                <w:sz w:val="28"/>
              </w:rPr>
            </w:pPr>
            <w:r>
              <w:rPr>
                <w:sz w:val="28"/>
              </w:rPr>
              <w:t>на передачу полномочий по осуществлению муниципального финансового контроля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4000000">
            <w:pPr>
              <w:rPr>
                <w:sz w:val="28"/>
              </w:rPr>
            </w:pPr>
            <w:r>
              <w:rPr>
                <w:sz w:val="28"/>
              </w:rPr>
              <w:t>141,4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5000000">
            <w:pPr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6000000">
            <w:pPr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</w:tr>
    </w:tbl>
    <w:p w14:paraId="27000000">
      <w:pPr>
        <w:ind/>
        <w:jc w:val="right"/>
      </w:pPr>
    </w:p>
    <w:p w14:paraId="28000000">
      <w:pPr>
        <w:ind/>
        <w:jc w:val="right"/>
      </w:pPr>
    </w:p>
    <w:p w14:paraId="29000000">
      <w:pPr>
        <w:ind/>
        <w:jc w:val="right"/>
      </w:pPr>
    </w:p>
    <w:p w14:paraId="2A000000">
      <w:pPr>
        <w:ind/>
        <w:jc w:val="right"/>
      </w:pPr>
    </w:p>
    <w:p w14:paraId="2B000000">
      <w:pPr>
        <w:ind/>
        <w:jc w:val="right"/>
      </w:pPr>
    </w:p>
    <w:p w14:paraId="2C000000">
      <w:pPr>
        <w:ind/>
        <w:jc w:val="right"/>
      </w:pPr>
    </w:p>
    <w:p w14:paraId="2D000000"/>
    <w:sectPr>
      <w:pgSz w:h="11906" w:orient="landscape" w:w="16838"/>
      <w:pgMar w:bottom="850" w:footer="708" w:gutter="0" w:header="708" w:left="1134" w:right="1134" w:top="0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Calibri" w:hAnsi="Calibri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rPr>
      <w:rFonts w:ascii="Times New Roman" w:hAnsi="Times New Roman"/>
    </w:rPr>
  </w:style>
  <w:style w:default="1" w:styleId="Style_2_ch" w:type="character">
    <w:name w:val="Normal"/>
    <w:link w:val="Style_2"/>
    <w:rPr>
      <w:rFonts w:ascii="Times New Roman" w:hAnsi="Times New Roman"/>
    </w:rPr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2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2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heading 3"/>
    <w:next w:val="Style_2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toc 3"/>
    <w:next w:val="Style_2"/>
    <w:link w:val="Style_8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8_ch" w:type="character">
    <w:name w:val="toc 3"/>
    <w:link w:val="Style_8"/>
    <w:rPr>
      <w:rFonts w:ascii="XO Thames" w:hAnsi="XO Thames"/>
      <w:sz w:val="28"/>
    </w:rPr>
  </w:style>
  <w:style w:styleId="Style_9" w:type="paragraph">
    <w:name w:val="heading 5"/>
    <w:next w:val="Style_2"/>
    <w:link w:val="Style_9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9_ch" w:type="character">
    <w:name w:val="heading 5"/>
    <w:link w:val="Style_9"/>
    <w:rPr>
      <w:rFonts w:ascii="XO Thames" w:hAnsi="XO Thames"/>
      <w:b w:val="1"/>
      <w:sz w:val="22"/>
    </w:rPr>
  </w:style>
  <w:style w:styleId="Style_10" w:type="paragraph">
    <w:name w:val="heading 1"/>
    <w:next w:val="Style_2"/>
    <w:link w:val="Style_10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0_ch" w:type="character">
    <w:name w:val="heading 1"/>
    <w:link w:val="Style_10"/>
    <w:rPr>
      <w:rFonts w:ascii="XO Thames" w:hAnsi="XO Thames"/>
      <w:b w:val="1"/>
      <w:sz w:val="32"/>
    </w:rPr>
  </w:style>
  <w:style w:styleId="Style_11" w:type="paragraph">
    <w:name w:val="Hyperlink"/>
    <w:link w:val="Style_11_ch"/>
    <w:rPr>
      <w:color w:val="0000FF"/>
      <w:u w:val="single"/>
    </w:rPr>
  </w:style>
  <w:style w:styleId="Style_11_ch" w:type="character">
    <w:name w:val="Hyperlink"/>
    <w:link w:val="Style_11"/>
    <w:rPr>
      <w:color w:val="0000FF"/>
      <w:u w:val="single"/>
    </w:rPr>
  </w:style>
  <w:style w:styleId="Style_12" w:type="paragraph">
    <w:name w:val="Footnote"/>
    <w:link w:val="Style_12_ch"/>
    <w:pPr>
      <w:ind w:firstLine="851" w:left="0"/>
      <w:jc w:val="both"/>
    </w:pPr>
    <w:rPr>
      <w:rFonts w:ascii="XO Thames" w:hAnsi="XO Thames"/>
      <w:sz w:val="22"/>
    </w:rPr>
  </w:style>
  <w:style w:styleId="Style_12_ch" w:type="character">
    <w:name w:val="Footnote"/>
    <w:link w:val="Style_12"/>
    <w:rPr>
      <w:rFonts w:ascii="XO Thames" w:hAnsi="XO Thames"/>
      <w:sz w:val="22"/>
    </w:rPr>
  </w:style>
  <w:style w:styleId="Style_13" w:type="paragraph">
    <w:name w:val="toc 1"/>
    <w:next w:val="Style_2"/>
    <w:link w:val="Style_13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3_ch" w:type="character">
    <w:name w:val="toc 1"/>
    <w:link w:val="Style_13"/>
    <w:rPr>
      <w:rFonts w:ascii="XO Thames" w:hAnsi="XO Thames"/>
      <w:b w:val="1"/>
      <w:sz w:val="28"/>
    </w:rPr>
  </w:style>
  <w:style w:styleId="Style_14" w:type="paragraph">
    <w:name w:val="Header and Footer"/>
    <w:link w:val="Style_14_ch"/>
    <w:pPr>
      <w:spacing w:line="240" w:lineRule="auto"/>
      <w:ind/>
      <w:jc w:val="both"/>
    </w:pPr>
    <w:rPr>
      <w:rFonts w:ascii="XO Thames" w:hAnsi="XO Thames"/>
      <w:sz w:val="20"/>
    </w:rPr>
  </w:style>
  <w:style w:styleId="Style_14_ch" w:type="character">
    <w:name w:val="Header and Footer"/>
    <w:link w:val="Style_14"/>
    <w:rPr>
      <w:rFonts w:ascii="XO Thames" w:hAnsi="XO Thames"/>
      <w:sz w:val="20"/>
    </w:rPr>
  </w:style>
  <w:style w:styleId="Style_15" w:type="paragraph">
    <w:name w:val="Default Paragraph Font"/>
    <w:link w:val="Style_15_ch"/>
  </w:style>
  <w:style w:styleId="Style_15_ch" w:type="character">
    <w:name w:val="Default Paragraph Font"/>
    <w:link w:val="Style_15"/>
  </w:style>
  <w:style w:styleId="Style_16" w:type="paragraph">
    <w:name w:val="toc 9"/>
    <w:next w:val="Style_2"/>
    <w:link w:val="Style_16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6_ch" w:type="character">
    <w:name w:val="toc 9"/>
    <w:link w:val="Style_16"/>
    <w:rPr>
      <w:rFonts w:ascii="XO Thames" w:hAnsi="XO Thames"/>
      <w:sz w:val="28"/>
    </w:rPr>
  </w:style>
  <w:style w:styleId="Style_17" w:type="paragraph">
    <w:name w:val="toc 8"/>
    <w:next w:val="Style_2"/>
    <w:link w:val="Style_17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7_ch" w:type="character">
    <w:name w:val="toc 8"/>
    <w:link w:val="Style_17"/>
    <w:rPr>
      <w:rFonts w:ascii="XO Thames" w:hAnsi="XO Thames"/>
      <w:sz w:val="28"/>
    </w:rPr>
  </w:style>
  <w:style w:styleId="Style_18" w:type="paragraph">
    <w:name w:val="toc 5"/>
    <w:next w:val="Style_2"/>
    <w:link w:val="Style_18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8_ch" w:type="character">
    <w:name w:val="toc 5"/>
    <w:link w:val="Style_18"/>
    <w:rPr>
      <w:rFonts w:ascii="XO Thames" w:hAnsi="XO Thames"/>
      <w:sz w:val="28"/>
    </w:rPr>
  </w:style>
  <w:style w:styleId="Style_19" w:type="paragraph">
    <w:name w:val="Balloon Text"/>
    <w:basedOn w:val="Style_2"/>
    <w:link w:val="Style_19_ch"/>
    <w:rPr>
      <w:rFonts w:ascii="Tahoma" w:hAnsi="Tahoma"/>
      <w:sz w:val="16"/>
    </w:rPr>
  </w:style>
  <w:style w:styleId="Style_19_ch" w:type="character">
    <w:name w:val="Balloon Text"/>
    <w:basedOn w:val="Style_2_ch"/>
    <w:link w:val="Style_19"/>
    <w:rPr>
      <w:rFonts w:ascii="Tahoma" w:hAnsi="Tahoma"/>
      <w:sz w:val="16"/>
    </w:rPr>
  </w:style>
  <w:style w:styleId="Style_20" w:type="paragraph">
    <w:name w:val="Subtitle"/>
    <w:next w:val="Style_2"/>
    <w:link w:val="Style_20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0_ch" w:type="character">
    <w:name w:val="Subtitle"/>
    <w:link w:val="Style_20"/>
    <w:rPr>
      <w:rFonts w:ascii="XO Thames" w:hAnsi="XO Thames"/>
      <w:i w:val="1"/>
      <w:sz w:val="24"/>
    </w:rPr>
  </w:style>
  <w:style w:styleId="Style_21" w:type="paragraph">
    <w:name w:val="Title"/>
    <w:next w:val="Style_2"/>
    <w:link w:val="Style_21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1_ch" w:type="character">
    <w:name w:val="Title"/>
    <w:link w:val="Style_21"/>
    <w:rPr>
      <w:rFonts w:ascii="XO Thames" w:hAnsi="XO Thames"/>
      <w:b w:val="1"/>
      <w:caps w:val="1"/>
      <w:sz w:val="40"/>
    </w:rPr>
  </w:style>
  <w:style w:styleId="Style_22" w:type="paragraph">
    <w:name w:val="heading 4"/>
    <w:next w:val="Style_2"/>
    <w:link w:val="Style_22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2_ch" w:type="character">
    <w:name w:val="heading 4"/>
    <w:link w:val="Style_22"/>
    <w:rPr>
      <w:rFonts w:ascii="XO Thames" w:hAnsi="XO Thames"/>
      <w:b w:val="1"/>
      <w:sz w:val="24"/>
    </w:rPr>
  </w:style>
  <w:style w:styleId="Style_23" w:type="paragraph">
    <w:name w:val="heading 2"/>
    <w:next w:val="Style_2"/>
    <w:link w:val="Style_23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3_ch" w:type="character">
    <w:name w:val="heading 2"/>
    <w:link w:val="Style_23"/>
    <w:rPr>
      <w:rFonts w:ascii="XO Thames" w:hAnsi="XO Thames"/>
      <w:b w:val="1"/>
      <w:sz w:val="28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2024-11-06T13:23:05Z</dcterms:modified>
</cp:coreProperties>
</file>